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2E" w:rsidRPr="008C296C" w:rsidRDefault="008C296C" w:rsidP="00747EBD">
      <w:pPr>
        <w:ind w:left="142" w:hanging="142"/>
        <w:rPr>
          <w:rFonts w:cs="Tahoma"/>
          <w:b/>
          <w:caps/>
        </w:rPr>
      </w:pPr>
      <w:r w:rsidRPr="008C296C">
        <w:rPr>
          <w:rFonts w:cs="Tahoma"/>
          <w:b/>
          <w:caps/>
          <w:noProof/>
        </w:rPr>
        <w:drawing>
          <wp:inline distT="0" distB="0" distL="0" distR="0" wp14:anchorId="7D263666" wp14:editId="3E01CF81">
            <wp:extent cx="2593181" cy="1257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logo-inca_2015.jpg"/>
                    <pic:cNvPicPr/>
                  </pic:nvPicPr>
                  <pic:blipFill>
                    <a:blip r:embed="rId9">
                      <a:extLst>
                        <a:ext uri="{28A0092B-C50C-407E-A947-70E740481C1C}">
                          <a14:useLocalDpi xmlns:a14="http://schemas.microsoft.com/office/drawing/2010/main" val="0"/>
                        </a:ext>
                      </a:extLst>
                    </a:blip>
                    <a:stretch>
                      <a:fillRect/>
                    </a:stretch>
                  </pic:blipFill>
                  <pic:spPr>
                    <a:xfrm>
                      <a:off x="0" y="0"/>
                      <a:ext cx="2593181" cy="1257300"/>
                    </a:xfrm>
                    <a:prstGeom prst="rect">
                      <a:avLst/>
                    </a:prstGeom>
                  </pic:spPr>
                </pic:pic>
              </a:graphicData>
            </a:graphic>
          </wp:inline>
        </w:drawing>
      </w:r>
    </w:p>
    <w:p w:rsidR="00B65841" w:rsidRDefault="00B65841">
      <w:pPr>
        <w:spacing w:line="240" w:lineRule="auto"/>
        <w:jc w:val="center"/>
        <w:rPr>
          <w:rFonts w:cs="Tahoma"/>
          <w:b/>
          <w:caps/>
        </w:rPr>
      </w:pPr>
    </w:p>
    <w:p w:rsidR="004B6EB6" w:rsidRPr="008C296C" w:rsidRDefault="004B6EB6">
      <w:pPr>
        <w:spacing w:line="240" w:lineRule="auto"/>
        <w:jc w:val="center"/>
        <w:rPr>
          <w:rFonts w:cs="Tahoma"/>
          <w:b/>
          <w:caps/>
        </w:rPr>
      </w:pPr>
    </w:p>
    <w:p w:rsidR="00811A7E" w:rsidRPr="008C296C" w:rsidRDefault="00811A7E">
      <w:pPr>
        <w:spacing w:line="240" w:lineRule="auto"/>
        <w:jc w:val="center"/>
        <w:rPr>
          <w:rFonts w:cs="Tahoma"/>
          <w:b/>
          <w:caps/>
        </w:rPr>
      </w:pPr>
    </w:p>
    <w:p w:rsidR="00B65841" w:rsidRPr="008C296C" w:rsidRDefault="0028312E">
      <w:pPr>
        <w:spacing w:line="240" w:lineRule="auto"/>
        <w:jc w:val="center"/>
        <w:rPr>
          <w:rFonts w:cs="Tahoma"/>
          <w:b/>
          <w:caps/>
          <w:color w:val="871454"/>
          <w:sz w:val="40"/>
        </w:rPr>
      </w:pPr>
      <w:r w:rsidRPr="008C296C">
        <w:rPr>
          <w:rFonts w:cs="Tahoma"/>
          <w:b/>
          <w:caps/>
          <w:color w:val="871454"/>
          <w:sz w:val="40"/>
        </w:rPr>
        <w:t xml:space="preserve">appEl à PROJETS </w:t>
      </w:r>
      <w:r w:rsidR="009F2CB9">
        <w:rPr>
          <w:rFonts w:cs="Tahoma"/>
          <w:b/>
          <w:caps/>
          <w:color w:val="871454"/>
          <w:sz w:val="40"/>
        </w:rPr>
        <w:t>2018</w:t>
      </w:r>
    </w:p>
    <w:p w:rsidR="00B65841" w:rsidRDefault="00B65841">
      <w:pPr>
        <w:spacing w:line="240" w:lineRule="auto"/>
        <w:jc w:val="center"/>
        <w:rPr>
          <w:rFonts w:cs="Tahoma"/>
          <w:b/>
          <w:caps/>
          <w:color w:val="333399"/>
        </w:rPr>
      </w:pPr>
    </w:p>
    <w:p w:rsidR="004B6EB6" w:rsidRPr="008C296C" w:rsidRDefault="004B6EB6">
      <w:pPr>
        <w:spacing w:line="240" w:lineRule="auto"/>
        <w:jc w:val="center"/>
        <w:rPr>
          <w:rFonts w:cs="Tahoma"/>
          <w:b/>
          <w:caps/>
          <w:color w:val="333399"/>
        </w:rPr>
      </w:pPr>
    </w:p>
    <w:p w:rsidR="00B65841" w:rsidRPr="008C296C" w:rsidRDefault="00B65841">
      <w:pPr>
        <w:spacing w:line="240" w:lineRule="auto"/>
        <w:jc w:val="center"/>
        <w:rPr>
          <w:rFonts w:cs="Tahoma"/>
          <w:b/>
          <w:caps/>
          <w:color w:val="333399"/>
        </w:rPr>
      </w:pPr>
    </w:p>
    <w:p w:rsidR="00811A7E" w:rsidRPr="008C296C" w:rsidRDefault="00811A7E">
      <w:pPr>
        <w:spacing w:line="240" w:lineRule="auto"/>
        <w:jc w:val="center"/>
        <w:rPr>
          <w:rFonts w:cs="Tahoma"/>
          <w:b/>
          <w:caps/>
          <w:color w:val="333399"/>
        </w:rPr>
      </w:pPr>
    </w:p>
    <w:p w:rsidR="00B65841" w:rsidRPr="008C296C" w:rsidRDefault="0028312E">
      <w:pPr>
        <w:spacing w:line="240" w:lineRule="auto"/>
        <w:jc w:val="center"/>
        <w:rPr>
          <w:rFonts w:cs="Tahoma"/>
          <w:b/>
          <w:caps/>
          <w:color w:val="053167"/>
          <w:sz w:val="40"/>
        </w:rPr>
      </w:pPr>
      <w:r w:rsidRPr="008C296C">
        <w:rPr>
          <w:rFonts w:cs="Tahoma"/>
          <w:b/>
          <w:caps/>
          <w:color w:val="053167"/>
          <w:sz w:val="40"/>
        </w:rPr>
        <w:t xml:space="preserve">SANTE PUBLIQUE </w:t>
      </w:r>
    </w:p>
    <w:p w:rsidR="008C296C" w:rsidRPr="008C296C" w:rsidRDefault="0028312E">
      <w:pPr>
        <w:spacing w:line="240" w:lineRule="auto"/>
        <w:ind w:right="67"/>
        <w:jc w:val="center"/>
        <w:rPr>
          <w:rFonts w:cs="Tahoma"/>
          <w:b/>
          <w:color w:val="053167"/>
          <w:sz w:val="36"/>
        </w:rPr>
      </w:pPr>
      <w:r w:rsidRPr="008C296C">
        <w:rPr>
          <w:rFonts w:cs="Tahoma"/>
          <w:b/>
          <w:color w:val="053167"/>
          <w:sz w:val="36"/>
        </w:rPr>
        <w:t xml:space="preserve">Accompagnement des politiques de prévention </w:t>
      </w:r>
    </w:p>
    <w:p w:rsidR="00B65841" w:rsidRPr="008C296C" w:rsidRDefault="0028312E">
      <w:pPr>
        <w:spacing w:line="240" w:lineRule="auto"/>
        <w:ind w:right="67"/>
        <w:jc w:val="center"/>
        <w:rPr>
          <w:rFonts w:cs="Tahoma"/>
          <w:b/>
          <w:color w:val="053167"/>
          <w:sz w:val="36"/>
        </w:rPr>
      </w:pPr>
      <w:proofErr w:type="gramStart"/>
      <w:r w:rsidRPr="008C296C">
        <w:rPr>
          <w:rFonts w:cs="Tahoma"/>
          <w:b/>
          <w:color w:val="053167"/>
          <w:sz w:val="36"/>
        </w:rPr>
        <w:t>et</w:t>
      </w:r>
      <w:proofErr w:type="gramEnd"/>
      <w:r w:rsidRPr="008C296C">
        <w:rPr>
          <w:rFonts w:cs="Tahoma"/>
          <w:b/>
          <w:color w:val="053167"/>
          <w:sz w:val="36"/>
        </w:rPr>
        <w:t xml:space="preserve"> de dépistage des cancers</w:t>
      </w:r>
    </w:p>
    <w:p w:rsidR="00B65841" w:rsidRPr="008C296C" w:rsidRDefault="00B65841">
      <w:pPr>
        <w:spacing w:line="240" w:lineRule="auto"/>
        <w:ind w:left="-720" w:right="-1188"/>
        <w:jc w:val="center"/>
        <w:rPr>
          <w:rFonts w:cs="Tahoma"/>
          <w:b/>
          <w:color w:val="053167"/>
          <w:sz w:val="40"/>
        </w:rPr>
      </w:pPr>
    </w:p>
    <w:p w:rsidR="008C296C" w:rsidRDefault="0028312E" w:rsidP="00B67FF7">
      <w:pPr>
        <w:spacing w:line="240" w:lineRule="auto"/>
        <w:ind w:right="-30"/>
        <w:jc w:val="center"/>
        <w:rPr>
          <w:rFonts w:cs="Tahoma"/>
          <w:b/>
          <w:color w:val="053167"/>
          <w:sz w:val="36"/>
        </w:rPr>
      </w:pPr>
      <w:r w:rsidRPr="008C296C">
        <w:rPr>
          <w:rFonts w:cs="Tahoma"/>
          <w:b/>
          <w:color w:val="053167"/>
          <w:sz w:val="36"/>
        </w:rPr>
        <w:t xml:space="preserve">Soutien aux </w:t>
      </w:r>
      <w:r w:rsidR="0003718C" w:rsidRPr="008C296C">
        <w:rPr>
          <w:rFonts w:cs="Tahoma"/>
          <w:b/>
          <w:color w:val="053167"/>
          <w:sz w:val="36"/>
        </w:rPr>
        <w:t xml:space="preserve">projets </w:t>
      </w:r>
      <w:r w:rsidRPr="008C296C">
        <w:rPr>
          <w:rFonts w:cs="Tahoma"/>
          <w:b/>
          <w:color w:val="053167"/>
          <w:sz w:val="36"/>
        </w:rPr>
        <w:t>et actions pour améliorer</w:t>
      </w:r>
      <w:r w:rsidR="008C296C" w:rsidRPr="008C296C">
        <w:rPr>
          <w:rFonts w:cs="Tahoma"/>
          <w:b/>
          <w:color w:val="053167"/>
          <w:sz w:val="36"/>
        </w:rPr>
        <w:t xml:space="preserve"> </w:t>
      </w:r>
      <w:r w:rsidRPr="008C296C">
        <w:rPr>
          <w:rFonts w:cs="Tahoma"/>
          <w:b/>
          <w:color w:val="053167"/>
          <w:sz w:val="36"/>
        </w:rPr>
        <w:t>la prévention,</w:t>
      </w:r>
    </w:p>
    <w:p w:rsidR="00B65841" w:rsidRPr="008C296C" w:rsidRDefault="0028312E" w:rsidP="00B67FF7">
      <w:pPr>
        <w:spacing w:line="240" w:lineRule="auto"/>
        <w:ind w:right="-30"/>
        <w:jc w:val="center"/>
        <w:rPr>
          <w:rFonts w:cs="Tahoma"/>
          <w:b/>
          <w:caps/>
          <w:color w:val="053167"/>
          <w:sz w:val="36"/>
        </w:rPr>
      </w:pPr>
      <w:proofErr w:type="gramStart"/>
      <w:r w:rsidRPr="008C296C">
        <w:rPr>
          <w:rFonts w:cs="Tahoma"/>
          <w:b/>
          <w:color w:val="053167"/>
          <w:sz w:val="36"/>
        </w:rPr>
        <w:t>le</w:t>
      </w:r>
      <w:proofErr w:type="gramEnd"/>
      <w:r w:rsidRPr="008C296C">
        <w:rPr>
          <w:rFonts w:cs="Tahoma"/>
          <w:b/>
          <w:color w:val="053167"/>
          <w:sz w:val="36"/>
        </w:rPr>
        <w:t xml:space="preserve"> dépistage et la détection précoce</w:t>
      </w:r>
      <w:r w:rsidRPr="008C296C">
        <w:rPr>
          <w:rFonts w:cs="Tahoma"/>
          <w:b/>
          <w:caps/>
          <w:color w:val="053167"/>
          <w:sz w:val="36"/>
        </w:rPr>
        <w:t xml:space="preserve"> </w:t>
      </w:r>
      <w:r w:rsidRPr="008C296C">
        <w:rPr>
          <w:rFonts w:cs="Tahoma"/>
          <w:b/>
          <w:color w:val="053167"/>
          <w:sz w:val="36"/>
        </w:rPr>
        <w:t>des cancers</w:t>
      </w:r>
    </w:p>
    <w:p w:rsidR="00B65841" w:rsidRPr="008C296C" w:rsidRDefault="00B65841">
      <w:pPr>
        <w:spacing w:line="240" w:lineRule="auto"/>
        <w:jc w:val="center"/>
        <w:rPr>
          <w:rFonts w:cs="Tahoma"/>
          <w:b/>
          <w:caps/>
        </w:rPr>
      </w:pPr>
    </w:p>
    <w:p w:rsidR="00B65841" w:rsidRDefault="00B65841">
      <w:pPr>
        <w:spacing w:line="240" w:lineRule="auto"/>
        <w:jc w:val="center"/>
        <w:rPr>
          <w:rFonts w:cs="Tahoma"/>
          <w:b/>
          <w:caps/>
        </w:rPr>
      </w:pPr>
    </w:p>
    <w:p w:rsidR="00CE0FD9" w:rsidRDefault="00CE0FD9">
      <w:pPr>
        <w:spacing w:line="240" w:lineRule="auto"/>
        <w:jc w:val="center"/>
        <w:rPr>
          <w:rFonts w:cs="Tahoma"/>
          <w:b/>
          <w:caps/>
        </w:rPr>
      </w:pPr>
    </w:p>
    <w:p w:rsidR="00CE0FD9" w:rsidRDefault="00CE0FD9">
      <w:pPr>
        <w:spacing w:line="240" w:lineRule="auto"/>
        <w:jc w:val="center"/>
        <w:rPr>
          <w:rFonts w:cs="Tahoma"/>
          <w:b/>
          <w:caps/>
        </w:rPr>
      </w:pPr>
    </w:p>
    <w:p w:rsidR="00CE0FD9" w:rsidRDefault="00CE0FD9">
      <w:pPr>
        <w:spacing w:line="240" w:lineRule="auto"/>
        <w:jc w:val="center"/>
        <w:rPr>
          <w:rFonts w:cs="Tahoma"/>
          <w:b/>
          <w:caps/>
        </w:rPr>
      </w:pPr>
    </w:p>
    <w:p w:rsidR="00CE0FD9" w:rsidRDefault="00CE0FD9">
      <w:pPr>
        <w:spacing w:line="240" w:lineRule="auto"/>
        <w:jc w:val="center"/>
        <w:rPr>
          <w:rFonts w:cs="Tahoma"/>
          <w:b/>
          <w:caps/>
        </w:rPr>
      </w:pPr>
    </w:p>
    <w:p w:rsidR="00CE0FD9" w:rsidRDefault="00CE0FD9">
      <w:pPr>
        <w:spacing w:line="240" w:lineRule="auto"/>
        <w:jc w:val="center"/>
        <w:rPr>
          <w:rFonts w:cs="Tahoma"/>
          <w:b/>
          <w:caps/>
        </w:rPr>
      </w:pPr>
    </w:p>
    <w:p w:rsidR="00CE0FD9" w:rsidRPr="008C296C" w:rsidRDefault="00CE0FD9">
      <w:pPr>
        <w:spacing w:line="240" w:lineRule="auto"/>
        <w:jc w:val="center"/>
        <w:rPr>
          <w:rFonts w:cs="Tahoma"/>
          <w:b/>
          <w:caps/>
        </w:rPr>
      </w:pPr>
    </w:p>
    <w:p w:rsidR="00B65841" w:rsidRPr="008C296C" w:rsidRDefault="00B65841">
      <w:pPr>
        <w:spacing w:line="240" w:lineRule="auto"/>
        <w:jc w:val="center"/>
        <w:rPr>
          <w:rFonts w:cs="Tahoma"/>
          <w:b/>
          <w:caps/>
        </w:rPr>
      </w:pPr>
    </w:p>
    <w:p w:rsidR="00B67FF7" w:rsidRPr="008C296C" w:rsidRDefault="00237BC9" w:rsidP="008C296C">
      <w:pPr>
        <w:spacing w:line="240" w:lineRule="auto"/>
        <w:ind w:left="1985"/>
        <w:rPr>
          <w:rFonts w:cs="Tahoma"/>
          <w:b/>
          <w:caps/>
        </w:rPr>
      </w:pPr>
      <w:r w:rsidRPr="008C296C">
        <w:rPr>
          <w:rFonts w:cs="Tahoma"/>
          <w:b/>
          <w:caps/>
          <w:noProof/>
        </w:rPr>
        <mc:AlternateContent>
          <mc:Choice Requires="wps">
            <w:drawing>
              <wp:anchor distT="0" distB="0" distL="114300" distR="114300" simplePos="0" relativeHeight="251658752" behindDoc="0" locked="0" layoutInCell="1" allowOverlap="1" wp14:anchorId="668269A5" wp14:editId="341BBA5B">
                <wp:simplePos x="0" y="0"/>
                <wp:positionH relativeFrom="column">
                  <wp:posOffset>3437890</wp:posOffset>
                </wp:positionH>
                <wp:positionV relativeFrom="paragraph">
                  <wp:posOffset>422910</wp:posOffset>
                </wp:positionV>
                <wp:extent cx="2433099" cy="863600"/>
                <wp:effectExtent l="0" t="0" r="571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099"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0F1" w:rsidRPr="006603BB" w:rsidRDefault="00A470F1" w:rsidP="007579EB">
                            <w:pPr>
                              <w:spacing w:line="240" w:lineRule="auto"/>
                              <w:rPr>
                                <w:rFonts w:eastAsia="Calibri" w:cs="Tahoma"/>
                                <w:b/>
                                <w:bCs/>
                                <w:color w:val="0086BE"/>
                                <w:sz w:val="20"/>
                              </w:rPr>
                            </w:pPr>
                            <w:r w:rsidRPr="008C296C">
                              <w:rPr>
                                <w:rFonts w:eastAsia="Calibri" w:cs="Tahoma"/>
                                <w:b/>
                                <w:bCs/>
                                <w:color w:val="F9AF00"/>
                                <w:sz w:val="20"/>
                              </w:rPr>
                              <w:t>Actions</w:t>
                            </w:r>
                            <w:r>
                              <w:rPr>
                                <w:rFonts w:eastAsia="Calibri" w:cs="Tahoma"/>
                                <w:b/>
                                <w:bCs/>
                                <w:color w:val="0086BE"/>
                                <w:sz w:val="20"/>
                              </w:rPr>
                              <w:t xml:space="preserve">  1.6 - 1.7 - 1.8 - </w:t>
                            </w:r>
                            <w:r w:rsidRPr="006603BB">
                              <w:rPr>
                                <w:rFonts w:eastAsia="Calibri" w:cs="Tahoma"/>
                                <w:b/>
                                <w:bCs/>
                                <w:color w:val="0086BE"/>
                                <w:sz w:val="20"/>
                              </w:rPr>
                              <w:t>1.11</w:t>
                            </w:r>
                            <w:r>
                              <w:rPr>
                                <w:rFonts w:eastAsia="Calibri" w:cs="Tahoma"/>
                                <w:b/>
                                <w:bCs/>
                                <w:color w:val="0086BE"/>
                                <w:sz w:val="20"/>
                              </w:rPr>
                              <w:t>.</w:t>
                            </w:r>
                          </w:p>
                          <w:p w:rsidR="00A470F1" w:rsidRPr="008C296C" w:rsidRDefault="00A470F1" w:rsidP="007579EB">
                            <w:pPr>
                              <w:spacing w:line="240" w:lineRule="auto"/>
                              <w:rPr>
                                <w:rFonts w:eastAsia="Calibri" w:cs="Tahoma"/>
                                <w:b/>
                                <w:bCs/>
                                <w:color w:val="0086BE"/>
                                <w:sz w:val="20"/>
                              </w:rPr>
                            </w:pPr>
                            <w:r w:rsidRPr="00CE6901">
                              <w:rPr>
                                <w:rFonts w:eastAsia="Calibri" w:cs="Tahoma"/>
                                <w:b/>
                                <w:bCs/>
                                <w:color w:val="F9AF00"/>
                                <w:sz w:val="20"/>
                              </w:rPr>
                              <w:t xml:space="preserve">Actions </w:t>
                            </w:r>
                            <w:r w:rsidRPr="00CE6901">
                              <w:rPr>
                                <w:rFonts w:eastAsia="Calibri" w:cs="Tahoma"/>
                                <w:b/>
                                <w:bCs/>
                                <w:color w:val="0086BE"/>
                                <w:sz w:val="20"/>
                              </w:rPr>
                              <w:t>1</w:t>
                            </w:r>
                            <w:r>
                              <w:rPr>
                                <w:rFonts w:eastAsia="Calibri" w:cs="Tahoma"/>
                                <w:b/>
                                <w:bCs/>
                                <w:color w:val="0086BE"/>
                                <w:sz w:val="20"/>
                              </w:rPr>
                              <w:t>1</w:t>
                            </w:r>
                            <w:r w:rsidRPr="00CE6901">
                              <w:rPr>
                                <w:rFonts w:eastAsia="Calibri" w:cs="Tahoma"/>
                                <w:b/>
                                <w:bCs/>
                                <w:color w:val="0086BE"/>
                                <w:sz w:val="20"/>
                              </w:rPr>
                              <w:t>.1 - 1</w:t>
                            </w:r>
                            <w:r>
                              <w:rPr>
                                <w:rFonts w:eastAsia="Calibri" w:cs="Tahoma"/>
                                <w:b/>
                                <w:bCs/>
                                <w:color w:val="0086BE"/>
                                <w:sz w:val="20"/>
                              </w:rPr>
                              <w:t>1</w:t>
                            </w:r>
                            <w:r w:rsidRPr="00CE6901">
                              <w:rPr>
                                <w:rFonts w:eastAsia="Calibri" w:cs="Tahoma"/>
                                <w:b/>
                                <w:bCs/>
                                <w:color w:val="0086BE"/>
                                <w:sz w:val="20"/>
                              </w:rPr>
                              <w:t>.2 - 1</w:t>
                            </w:r>
                            <w:r>
                              <w:rPr>
                                <w:rFonts w:eastAsia="Calibri" w:cs="Tahoma"/>
                                <w:b/>
                                <w:bCs/>
                                <w:color w:val="0086BE"/>
                                <w:sz w:val="20"/>
                              </w:rPr>
                              <w:t>1</w:t>
                            </w:r>
                            <w:r w:rsidRPr="00CE6901">
                              <w:rPr>
                                <w:rFonts w:eastAsia="Calibri" w:cs="Tahoma"/>
                                <w:b/>
                                <w:bCs/>
                                <w:color w:val="0086BE"/>
                                <w:sz w:val="20"/>
                              </w:rPr>
                              <w:t xml:space="preserve">.3 - </w:t>
                            </w:r>
                            <w:r>
                              <w:rPr>
                                <w:rFonts w:eastAsia="Calibri" w:cs="Tahoma"/>
                                <w:b/>
                                <w:bCs/>
                                <w:color w:val="0086BE"/>
                                <w:sz w:val="20"/>
                              </w:rPr>
                              <w:t>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0.7pt;margin-top:33.3pt;width:191.6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VXgw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" stroked="f">
                <v:textbox>
                  <w:txbxContent>
                    <w:p w:rsidR="00A470F1" w:rsidRPr="006603BB" w:rsidRDefault="00A470F1" w:rsidP="007579EB">
                      <w:pPr>
                        <w:spacing w:line="240" w:lineRule="auto"/>
                        <w:rPr>
                          <w:rFonts w:eastAsia="Calibri" w:cs="Tahoma"/>
                          <w:b/>
                          <w:bCs/>
                          <w:color w:val="0086BE"/>
                          <w:sz w:val="20"/>
                        </w:rPr>
                      </w:pPr>
                      <w:r w:rsidRPr="008C296C">
                        <w:rPr>
                          <w:rFonts w:eastAsia="Calibri" w:cs="Tahoma"/>
                          <w:b/>
                          <w:bCs/>
                          <w:color w:val="F9AF00"/>
                          <w:sz w:val="20"/>
                        </w:rPr>
                        <w:t>Actions</w:t>
                      </w:r>
                      <w:r>
                        <w:rPr>
                          <w:rFonts w:eastAsia="Calibri" w:cs="Tahoma"/>
                          <w:b/>
                          <w:bCs/>
                          <w:color w:val="0086BE"/>
                          <w:sz w:val="20"/>
                        </w:rPr>
                        <w:t xml:space="preserve">  1.6 - 1.7 - 1.8 - </w:t>
                      </w:r>
                      <w:r w:rsidRPr="006603BB">
                        <w:rPr>
                          <w:rFonts w:eastAsia="Calibri" w:cs="Tahoma"/>
                          <w:b/>
                          <w:bCs/>
                          <w:color w:val="0086BE"/>
                          <w:sz w:val="20"/>
                        </w:rPr>
                        <w:t>1.11</w:t>
                      </w:r>
                      <w:r>
                        <w:rPr>
                          <w:rFonts w:eastAsia="Calibri" w:cs="Tahoma"/>
                          <w:b/>
                          <w:bCs/>
                          <w:color w:val="0086BE"/>
                          <w:sz w:val="20"/>
                        </w:rPr>
                        <w:t>.</w:t>
                      </w:r>
                    </w:p>
                    <w:p w:rsidR="00A470F1" w:rsidRPr="008C296C" w:rsidRDefault="00A470F1" w:rsidP="007579EB">
                      <w:pPr>
                        <w:spacing w:line="240" w:lineRule="auto"/>
                        <w:rPr>
                          <w:rFonts w:eastAsia="Calibri" w:cs="Tahoma"/>
                          <w:b/>
                          <w:bCs/>
                          <w:color w:val="0086BE"/>
                          <w:sz w:val="20"/>
                        </w:rPr>
                      </w:pPr>
                      <w:r w:rsidRPr="00CE6901">
                        <w:rPr>
                          <w:rFonts w:eastAsia="Calibri" w:cs="Tahoma"/>
                          <w:b/>
                          <w:bCs/>
                          <w:color w:val="F9AF00"/>
                          <w:sz w:val="20"/>
                        </w:rPr>
                        <w:t xml:space="preserve">Actions </w:t>
                      </w:r>
                      <w:r w:rsidRPr="00CE6901">
                        <w:rPr>
                          <w:rFonts w:eastAsia="Calibri" w:cs="Tahoma"/>
                          <w:b/>
                          <w:bCs/>
                          <w:color w:val="0086BE"/>
                          <w:sz w:val="20"/>
                        </w:rPr>
                        <w:t>1</w:t>
                      </w:r>
                      <w:r>
                        <w:rPr>
                          <w:rFonts w:eastAsia="Calibri" w:cs="Tahoma"/>
                          <w:b/>
                          <w:bCs/>
                          <w:color w:val="0086BE"/>
                          <w:sz w:val="20"/>
                        </w:rPr>
                        <w:t>1</w:t>
                      </w:r>
                      <w:r w:rsidRPr="00CE6901">
                        <w:rPr>
                          <w:rFonts w:eastAsia="Calibri" w:cs="Tahoma"/>
                          <w:b/>
                          <w:bCs/>
                          <w:color w:val="0086BE"/>
                          <w:sz w:val="20"/>
                        </w:rPr>
                        <w:t>.1 - 1</w:t>
                      </w:r>
                      <w:r>
                        <w:rPr>
                          <w:rFonts w:eastAsia="Calibri" w:cs="Tahoma"/>
                          <w:b/>
                          <w:bCs/>
                          <w:color w:val="0086BE"/>
                          <w:sz w:val="20"/>
                        </w:rPr>
                        <w:t>1</w:t>
                      </w:r>
                      <w:r w:rsidRPr="00CE6901">
                        <w:rPr>
                          <w:rFonts w:eastAsia="Calibri" w:cs="Tahoma"/>
                          <w:b/>
                          <w:bCs/>
                          <w:color w:val="0086BE"/>
                          <w:sz w:val="20"/>
                        </w:rPr>
                        <w:t>.2 - 1</w:t>
                      </w:r>
                      <w:r>
                        <w:rPr>
                          <w:rFonts w:eastAsia="Calibri" w:cs="Tahoma"/>
                          <w:b/>
                          <w:bCs/>
                          <w:color w:val="0086BE"/>
                          <w:sz w:val="20"/>
                        </w:rPr>
                        <w:t>1</w:t>
                      </w:r>
                      <w:r w:rsidRPr="00CE6901">
                        <w:rPr>
                          <w:rFonts w:eastAsia="Calibri" w:cs="Tahoma"/>
                          <w:b/>
                          <w:bCs/>
                          <w:color w:val="0086BE"/>
                          <w:sz w:val="20"/>
                        </w:rPr>
                        <w:t xml:space="preserve">.3 - </w:t>
                      </w:r>
                      <w:r>
                        <w:rPr>
                          <w:rFonts w:eastAsia="Calibri" w:cs="Tahoma"/>
                          <w:b/>
                          <w:bCs/>
                          <w:color w:val="0086BE"/>
                          <w:sz w:val="20"/>
                        </w:rPr>
                        <w:t>11.4</w:t>
                      </w:r>
                    </w:p>
                  </w:txbxContent>
                </v:textbox>
              </v:shape>
            </w:pict>
          </mc:Fallback>
        </mc:AlternateContent>
      </w:r>
      <w:r w:rsidR="007579EB" w:rsidRPr="008C296C">
        <w:rPr>
          <w:rFonts w:cs="Tahoma"/>
          <w:b/>
          <w:caps/>
          <w:noProof/>
        </w:rPr>
        <w:drawing>
          <wp:inline distT="0" distB="0" distL="0" distR="0" wp14:anchorId="26C8FF9D" wp14:editId="0802F99D">
            <wp:extent cx="2231237" cy="1202064"/>
            <wp:effectExtent l="19050" t="0" r="0" b="0"/>
            <wp:docPr id="1" name="Image 1" descr="P:\logo\Logo P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Logo PK3.jpg"/>
                    <pic:cNvPicPr>
                      <a:picLocks noChangeAspect="1" noChangeArrowheads="1"/>
                    </pic:cNvPicPr>
                  </pic:nvPicPr>
                  <pic:blipFill>
                    <a:blip r:embed="rId10" cstate="print"/>
                    <a:srcRect/>
                    <a:stretch>
                      <a:fillRect/>
                    </a:stretch>
                  </pic:blipFill>
                  <pic:spPr bwMode="auto">
                    <a:xfrm>
                      <a:off x="0" y="0"/>
                      <a:ext cx="2231973" cy="1202461"/>
                    </a:xfrm>
                    <a:prstGeom prst="rect">
                      <a:avLst/>
                    </a:prstGeom>
                    <a:noFill/>
                    <a:ln w="9525">
                      <a:noFill/>
                      <a:miter lim="800000"/>
                      <a:headEnd/>
                      <a:tailEnd/>
                    </a:ln>
                  </pic:spPr>
                </pic:pic>
              </a:graphicData>
            </a:graphic>
          </wp:inline>
        </w:drawing>
      </w:r>
    </w:p>
    <w:p w:rsidR="00B67FF7" w:rsidRPr="008C296C" w:rsidRDefault="00B67FF7">
      <w:pPr>
        <w:spacing w:line="240" w:lineRule="auto"/>
        <w:jc w:val="center"/>
        <w:rPr>
          <w:rFonts w:cs="Tahoma"/>
          <w:b/>
          <w:caps/>
        </w:rPr>
      </w:pPr>
    </w:p>
    <w:p w:rsidR="00B65841" w:rsidRDefault="00B65841">
      <w:pPr>
        <w:spacing w:line="240" w:lineRule="auto"/>
        <w:jc w:val="center"/>
        <w:rPr>
          <w:rFonts w:cs="Tahoma"/>
          <w:b/>
          <w:caps/>
        </w:rPr>
      </w:pPr>
    </w:p>
    <w:p w:rsidR="004B6EB6" w:rsidRDefault="004B6EB6">
      <w:pPr>
        <w:spacing w:line="240" w:lineRule="auto"/>
        <w:jc w:val="center"/>
        <w:rPr>
          <w:rFonts w:cs="Tahoma"/>
          <w:b/>
          <w:caps/>
        </w:rPr>
      </w:pPr>
    </w:p>
    <w:p w:rsidR="00B65841" w:rsidRDefault="00B65841" w:rsidP="0050031A">
      <w:pPr>
        <w:spacing w:line="240" w:lineRule="auto"/>
        <w:rPr>
          <w:rFonts w:cs="Tahoma"/>
          <w:b/>
          <w:i/>
          <w:color w:val="999999"/>
        </w:rPr>
      </w:pPr>
    </w:p>
    <w:p w:rsidR="008C296C" w:rsidRDefault="008C296C" w:rsidP="0050031A">
      <w:pPr>
        <w:spacing w:line="240" w:lineRule="auto"/>
        <w:rPr>
          <w:rFonts w:cs="Tahoma"/>
          <w:b/>
          <w:i/>
          <w:color w:val="999999"/>
        </w:rPr>
      </w:pPr>
    </w:p>
    <w:p w:rsidR="00F27AFA" w:rsidRDefault="00F27AFA" w:rsidP="009C02B3">
      <w:pPr>
        <w:spacing w:line="240" w:lineRule="auto"/>
        <w:jc w:val="center"/>
        <w:rPr>
          <w:rFonts w:cs="Tahoma"/>
          <w:b/>
          <w:color w:val="595959" w:themeColor="text1" w:themeTint="A6"/>
          <w:sz w:val="32"/>
        </w:rPr>
      </w:pPr>
      <w:r w:rsidRPr="009C02B3">
        <w:rPr>
          <w:rFonts w:cs="Tahoma"/>
          <w:b/>
          <w:color w:val="595959" w:themeColor="text1" w:themeTint="A6"/>
          <w:sz w:val="28"/>
        </w:rPr>
        <w:t xml:space="preserve">Date limite </w:t>
      </w:r>
      <w:r w:rsidR="002A6DC2" w:rsidRPr="009C02B3">
        <w:rPr>
          <w:rFonts w:cs="Tahoma"/>
          <w:b/>
          <w:color w:val="595959" w:themeColor="text1" w:themeTint="A6"/>
          <w:sz w:val="28"/>
        </w:rPr>
        <w:t>de soumission</w:t>
      </w:r>
      <w:r w:rsidR="00B20373" w:rsidRPr="009C02B3">
        <w:rPr>
          <w:rFonts w:cs="Tahoma"/>
          <w:b/>
          <w:color w:val="595959" w:themeColor="text1" w:themeTint="A6"/>
          <w:sz w:val="28"/>
        </w:rPr>
        <w:t xml:space="preserve"> : </w:t>
      </w:r>
      <w:r w:rsidR="007F11FB" w:rsidRPr="009C02B3">
        <w:rPr>
          <w:rFonts w:cs="Tahoma"/>
          <w:b/>
          <w:color w:val="595959" w:themeColor="text1" w:themeTint="A6"/>
          <w:sz w:val="32"/>
        </w:rPr>
        <w:t>7 mars</w:t>
      </w:r>
      <w:r w:rsidR="00093B5B" w:rsidRPr="009C02B3">
        <w:rPr>
          <w:rFonts w:cs="Tahoma"/>
          <w:b/>
          <w:color w:val="595959" w:themeColor="text1" w:themeTint="A6"/>
          <w:sz w:val="32"/>
        </w:rPr>
        <w:t xml:space="preserve"> 201</w:t>
      </w:r>
      <w:r w:rsidR="004652EE" w:rsidRPr="009C02B3">
        <w:rPr>
          <w:rFonts w:cs="Tahoma"/>
          <w:b/>
          <w:color w:val="595959" w:themeColor="text1" w:themeTint="A6"/>
          <w:sz w:val="32"/>
        </w:rPr>
        <w:t>8</w:t>
      </w:r>
    </w:p>
    <w:p w:rsidR="009C02B3" w:rsidRPr="009C02B3" w:rsidRDefault="009C02B3" w:rsidP="009C02B3">
      <w:pPr>
        <w:spacing w:line="240" w:lineRule="auto"/>
        <w:jc w:val="center"/>
        <w:rPr>
          <w:rFonts w:cs="Tahoma"/>
          <w:b/>
          <w:color w:val="595959" w:themeColor="text1" w:themeTint="A6"/>
          <w:sz w:val="28"/>
        </w:rPr>
      </w:pPr>
    </w:p>
    <w:p w:rsidR="009F2CB9" w:rsidRPr="009C02B3" w:rsidRDefault="0028312E" w:rsidP="009C02B3">
      <w:pPr>
        <w:jc w:val="left"/>
        <w:rPr>
          <w:rFonts w:cs="Tahoma"/>
          <w:b/>
        </w:rPr>
      </w:pPr>
      <w:r w:rsidRPr="009C02B3">
        <w:rPr>
          <w:rFonts w:cs="Tahoma"/>
          <w:b/>
          <w:color w:val="595959" w:themeColor="text1" w:themeTint="A6"/>
          <w:sz w:val="28"/>
        </w:rPr>
        <w:t>Soumission en ligne</w:t>
      </w:r>
      <w:r w:rsidR="008C296C" w:rsidRPr="009C02B3">
        <w:rPr>
          <w:rFonts w:cs="Tahoma"/>
          <w:b/>
          <w:color w:val="595959" w:themeColor="text1" w:themeTint="A6"/>
          <w:sz w:val="28"/>
        </w:rPr>
        <w:t xml:space="preserve"> </w:t>
      </w:r>
      <w:r w:rsidRPr="009C02B3">
        <w:rPr>
          <w:rFonts w:cs="Tahoma"/>
          <w:b/>
          <w:color w:val="595959" w:themeColor="text1" w:themeTint="A6"/>
        </w:rPr>
        <w:t>:</w:t>
      </w:r>
      <w:r w:rsidR="008C296C" w:rsidRPr="009C02B3">
        <w:rPr>
          <w:rFonts w:cs="Tahoma"/>
          <w:b/>
          <w:color w:val="595959" w:themeColor="text1" w:themeTint="A6"/>
        </w:rPr>
        <w:t xml:space="preserve"> </w:t>
      </w:r>
      <w:hyperlink r:id="rId11" w:history="1">
        <w:r w:rsidR="009C02B3" w:rsidRPr="009C02B3">
          <w:rPr>
            <w:rStyle w:val="Lienhypertexte"/>
            <w:rFonts w:ascii="Calibri" w:hAnsi="Calibri"/>
            <w:sz w:val="22"/>
            <w:szCs w:val="22"/>
          </w:rPr>
          <w:t>http://www.e-cancer.fr/Institut-national-du-cancer/Appels-a-projets/Appels-a-projets-en-cours/DEPREV2018</w:t>
        </w:r>
      </w:hyperlink>
      <w:r w:rsidR="009C02B3" w:rsidRPr="009C02B3">
        <w:t xml:space="preserve"> </w:t>
      </w:r>
      <w:hyperlink r:id="rId12" w:history="1"/>
    </w:p>
    <w:p w:rsidR="00811A7E" w:rsidRPr="008C296C" w:rsidRDefault="00330E26" w:rsidP="004B6EB6">
      <w:pPr>
        <w:rPr>
          <w:rFonts w:cs="Tahoma"/>
        </w:rPr>
      </w:pPr>
      <w:r w:rsidRPr="00C2069F">
        <w:rPr>
          <w:rFonts w:cs="Tahoma"/>
          <w:b/>
        </w:rPr>
        <w:t xml:space="preserve"> </w:t>
      </w:r>
      <w:r w:rsidR="00747EBD" w:rsidRPr="008C296C">
        <w:rPr>
          <w:rFonts w:cs="Tahoma"/>
        </w:rPr>
        <w:br w:type="page"/>
      </w:r>
      <w:bookmarkStart w:id="0" w:name="_Toc160861651"/>
    </w:p>
    <w:p w:rsidR="00811A7E" w:rsidRPr="00737F3A" w:rsidRDefault="00811A7E" w:rsidP="00811A7E">
      <w:pPr>
        <w:spacing w:line="240" w:lineRule="auto"/>
        <w:jc w:val="center"/>
        <w:rPr>
          <w:rFonts w:cs="Tahoma"/>
          <w:b/>
          <w:color w:val="871454"/>
          <w:sz w:val="40"/>
        </w:rPr>
      </w:pPr>
      <w:r w:rsidRPr="00737F3A">
        <w:rPr>
          <w:rFonts w:cs="Tahoma"/>
          <w:b/>
          <w:color w:val="871454"/>
          <w:sz w:val="40"/>
        </w:rPr>
        <w:lastRenderedPageBreak/>
        <w:t>Sommaire</w:t>
      </w:r>
    </w:p>
    <w:p w:rsidR="005B2D4D" w:rsidRDefault="005B2D4D" w:rsidP="00811A7E">
      <w:pPr>
        <w:spacing w:line="240" w:lineRule="auto"/>
        <w:jc w:val="center"/>
        <w:rPr>
          <w:rFonts w:cs="Tahoma"/>
        </w:rPr>
      </w:pPr>
    </w:p>
    <w:p w:rsidR="00737F3A" w:rsidRPr="005B2D4D" w:rsidRDefault="00737F3A" w:rsidP="00811A7E">
      <w:pPr>
        <w:spacing w:line="240" w:lineRule="auto"/>
        <w:jc w:val="center"/>
        <w:rPr>
          <w:rFonts w:cs="Tahoma"/>
        </w:rPr>
      </w:pPr>
    </w:p>
    <w:p w:rsidR="00737F3A" w:rsidRPr="00DA42BC" w:rsidRDefault="00737F3A">
      <w:pPr>
        <w:pStyle w:val="TM1"/>
        <w:rPr>
          <w:rStyle w:val="Lienhypertexte"/>
          <w:rFonts w:asciiTheme="minorHAnsi" w:hAnsiTheme="minorHAnsi"/>
        </w:rPr>
      </w:pPr>
      <w:r w:rsidRPr="00DA42BC">
        <w:rPr>
          <w:rFonts w:asciiTheme="minorHAnsi" w:hAnsiTheme="minorHAnsi"/>
          <w:szCs w:val="24"/>
        </w:rPr>
        <w:fldChar w:fldCharType="begin"/>
      </w:r>
      <w:r w:rsidRPr="00DA42BC">
        <w:rPr>
          <w:rFonts w:asciiTheme="minorHAnsi" w:hAnsiTheme="minorHAnsi"/>
          <w:szCs w:val="24"/>
        </w:rPr>
        <w:instrText xml:space="preserve"> TOC \o "3-3" \h \z \t "Titre 1;1;Titre 2;2;Titre;1" </w:instrText>
      </w:r>
      <w:r w:rsidRPr="00DA42BC">
        <w:rPr>
          <w:rFonts w:asciiTheme="minorHAnsi" w:hAnsiTheme="minorHAnsi"/>
          <w:szCs w:val="24"/>
        </w:rPr>
        <w:fldChar w:fldCharType="separate"/>
      </w:r>
      <w:hyperlink w:anchor="_Toc499804620" w:history="1">
        <w:r w:rsidRPr="00DA42BC">
          <w:rPr>
            <w:rStyle w:val="Lienhypertexte"/>
            <w:rFonts w:asciiTheme="minorHAnsi" w:hAnsiTheme="minorHAnsi"/>
          </w:rPr>
          <w:t>Objectifs et  actions du Plan Cancer 2014-2019 concernés par cet appel à projets</w:t>
        </w:r>
        <w:r w:rsidRPr="00DA42BC">
          <w:rPr>
            <w:rFonts w:asciiTheme="minorHAnsi" w:hAnsiTheme="minorHAnsi"/>
            <w:webHidden/>
            <w:szCs w:val="24"/>
          </w:rPr>
          <w:tab/>
        </w:r>
        <w:r w:rsidRPr="00DA42BC">
          <w:rPr>
            <w:rFonts w:asciiTheme="minorHAnsi" w:hAnsiTheme="minorHAnsi"/>
            <w:webHidden/>
            <w:szCs w:val="24"/>
          </w:rPr>
          <w:fldChar w:fldCharType="begin"/>
        </w:r>
        <w:r w:rsidRPr="00DA42BC">
          <w:rPr>
            <w:rFonts w:asciiTheme="minorHAnsi" w:hAnsiTheme="minorHAnsi"/>
            <w:webHidden/>
            <w:szCs w:val="24"/>
          </w:rPr>
          <w:instrText xml:space="preserve"> PAGEREF _Toc499804620 \h </w:instrText>
        </w:r>
        <w:r w:rsidRPr="00DA42BC">
          <w:rPr>
            <w:rFonts w:asciiTheme="minorHAnsi" w:hAnsiTheme="minorHAnsi"/>
            <w:webHidden/>
            <w:szCs w:val="24"/>
          </w:rPr>
        </w:r>
        <w:r w:rsidRPr="00DA42BC">
          <w:rPr>
            <w:rFonts w:asciiTheme="minorHAnsi" w:hAnsiTheme="minorHAnsi"/>
            <w:webHidden/>
            <w:szCs w:val="24"/>
          </w:rPr>
          <w:fldChar w:fldCharType="separate"/>
        </w:r>
        <w:r w:rsidR="00904C63">
          <w:rPr>
            <w:rFonts w:asciiTheme="minorHAnsi" w:hAnsiTheme="minorHAnsi"/>
            <w:webHidden/>
            <w:szCs w:val="24"/>
          </w:rPr>
          <w:t>3</w:t>
        </w:r>
        <w:r w:rsidRPr="00DA42BC">
          <w:rPr>
            <w:rFonts w:asciiTheme="minorHAnsi" w:hAnsiTheme="minorHAnsi"/>
            <w:webHidden/>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Style w:val="Lienhypertexte"/>
          <w:rFonts w:asciiTheme="minorHAnsi" w:hAnsiTheme="minorHAnsi"/>
        </w:rPr>
      </w:pPr>
      <w:hyperlink w:anchor="_Toc499804621" w:history="1">
        <w:r w:rsidR="00737F3A" w:rsidRPr="00DA42BC">
          <w:rPr>
            <w:rStyle w:val="Lienhypertexte"/>
            <w:rFonts w:asciiTheme="minorHAnsi" w:hAnsiTheme="minorHAnsi"/>
          </w:rPr>
          <w:t>1.-</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Contexte et objectifs de l’appel à projets</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_Toc499804621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4</w:t>
        </w:r>
        <w:r w:rsidR="00737F3A" w:rsidRPr="00DA42BC">
          <w:rPr>
            <w:rFonts w:asciiTheme="minorHAnsi" w:hAnsiTheme="minorHAnsi"/>
            <w:webHidden/>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Fonts w:asciiTheme="minorHAnsi" w:eastAsiaTheme="minorEastAsia" w:hAnsiTheme="minorHAnsi" w:cstheme="minorBidi"/>
          <w:bCs w:val="0"/>
          <w:szCs w:val="24"/>
        </w:rPr>
      </w:pPr>
      <w:hyperlink w:anchor="_Toc499804622" w:history="1">
        <w:r w:rsidR="00737F3A" w:rsidRPr="00DA42BC">
          <w:rPr>
            <w:rStyle w:val="Lienhypertexte"/>
            <w:rFonts w:asciiTheme="minorHAnsi" w:hAnsiTheme="minorHAnsi"/>
          </w:rPr>
          <w:t>2.-</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Champs de l’appel à projets</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_Toc499804622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4</w:t>
        </w:r>
        <w:r w:rsidR="00737F3A" w:rsidRPr="00DA42BC">
          <w:rPr>
            <w:rFonts w:asciiTheme="minorHAnsi" w:hAnsiTheme="minorHAnsi"/>
            <w:webHidden/>
            <w:szCs w:val="24"/>
          </w:rPr>
          <w:fldChar w:fldCharType="end"/>
        </w:r>
      </w:hyperlink>
    </w:p>
    <w:p w:rsidR="00737F3A" w:rsidRPr="00DA42BC" w:rsidRDefault="00904C63">
      <w:pPr>
        <w:pStyle w:val="TM2"/>
        <w:rPr>
          <w:rFonts w:asciiTheme="minorHAnsi" w:eastAsiaTheme="minorEastAsia" w:hAnsiTheme="minorHAnsi" w:cstheme="minorBidi"/>
          <w:b w:val="0"/>
          <w:bCs w:val="0"/>
          <w:noProof/>
          <w:sz w:val="24"/>
          <w:szCs w:val="24"/>
        </w:rPr>
      </w:pPr>
      <w:hyperlink w:anchor="_Toc499804623" w:history="1">
        <w:r w:rsidR="00737F3A" w:rsidRPr="00DA42BC">
          <w:rPr>
            <w:rStyle w:val="Lienhypertexte"/>
            <w:rFonts w:asciiTheme="minorHAnsi" w:hAnsiTheme="minorHAnsi"/>
            <w:b w:val="0"/>
            <w:noProof/>
          </w:rPr>
          <w:t>2.1</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Prévention</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_Toc499804623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4</w:t>
        </w:r>
        <w:r w:rsidR="00737F3A" w:rsidRPr="00DA42BC">
          <w:rPr>
            <w:rFonts w:asciiTheme="minorHAnsi" w:hAnsiTheme="minorHAnsi"/>
            <w:b w:val="0"/>
            <w:noProof/>
            <w:webHidden/>
            <w:sz w:val="24"/>
            <w:szCs w:val="24"/>
          </w:rPr>
          <w:fldChar w:fldCharType="end"/>
        </w:r>
      </w:hyperlink>
    </w:p>
    <w:p w:rsidR="00737F3A" w:rsidRPr="00DA42BC" w:rsidRDefault="00904C63">
      <w:pPr>
        <w:pStyle w:val="TM2"/>
        <w:rPr>
          <w:rStyle w:val="Lienhypertexte"/>
          <w:rFonts w:asciiTheme="minorHAnsi" w:hAnsiTheme="minorHAnsi"/>
          <w:b w:val="0"/>
          <w:noProof/>
        </w:rPr>
      </w:pPr>
      <w:hyperlink w:anchor="_Toc499804624" w:history="1">
        <w:r w:rsidR="00737F3A" w:rsidRPr="00DA42BC">
          <w:rPr>
            <w:rStyle w:val="Lienhypertexte"/>
            <w:rFonts w:asciiTheme="minorHAnsi" w:hAnsiTheme="minorHAnsi"/>
            <w:b w:val="0"/>
            <w:noProof/>
          </w:rPr>
          <w:t>2.2</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Dépistage</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_Toc499804624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7</w:t>
        </w:r>
        <w:r w:rsidR="00737F3A" w:rsidRPr="00DA42BC">
          <w:rPr>
            <w:rFonts w:asciiTheme="minorHAnsi" w:hAnsiTheme="minorHAnsi"/>
            <w:b w:val="0"/>
            <w:noProof/>
            <w:webHidden/>
            <w:sz w:val="24"/>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Style w:val="Lienhypertexte"/>
          <w:rFonts w:asciiTheme="minorHAnsi" w:hAnsiTheme="minorHAnsi"/>
        </w:rPr>
      </w:pPr>
      <w:hyperlink w:anchor="_Toc499804625" w:history="1">
        <w:r w:rsidR="00737F3A" w:rsidRPr="00DA42BC">
          <w:rPr>
            <w:rStyle w:val="Lienhypertexte"/>
            <w:rFonts w:asciiTheme="minorHAnsi" w:hAnsiTheme="minorHAnsi"/>
          </w:rPr>
          <w:t>3.-</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Projets susceptibles d’être retenus</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_Toc499804625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9</w:t>
        </w:r>
        <w:r w:rsidR="00737F3A" w:rsidRPr="00DA42BC">
          <w:rPr>
            <w:rFonts w:asciiTheme="minorHAnsi" w:hAnsiTheme="minorHAnsi"/>
            <w:webHidden/>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Fonts w:asciiTheme="minorHAnsi" w:eastAsiaTheme="minorEastAsia" w:hAnsiTheme="minorHAnsi" w:cstheme="minorBidi"/>
          <w:bCs w:val="0"/>
          <w:szCs w:val="24"/>
        </w:rPr>
      </w:pPr>
      <w:hyperlink w:anchor="_Toc499804626" w:history="1">
        <w:r w:rsidR="00737F3A" w:rsidRPr="00DA42BC">
          <w:rPr>
            <w:rStyle w:val="Lienhypertexte"/>
            <w:rFonts w:asciiTheme="minorHAnsi" w:hAnsiTheme="minorHAnsi"/>
          </w:rPr>
          <w:t>4.-</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Modalités de participation</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_Toc499804626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10</w:t>
        </w:r>
        <w:r w:rsidR="00737F3A" w:rsidRPr="00DA42BC">
          <w:rPr>
            <w:rFonts w:asciiTheme="minorHAnsi" w:hAnsiTheme="minorHAnsi"/>
            <w:webHidden/>
            <w:szCs w:val="24"/>
          </w:rPr>
          <w:fldChar w:fldCharType="end"/>
        </w:r>
      </w:hyperlink>
    </w:p>
    <w:p w:rsidR="00737F3A" w:rsidRPr="00DA42BC" w:rsidRDefault="00904C63">
      <w:pPr>
        <w:pStyle w:val="TM2"/>
        <w:rPr>
          <w:rFonts w:asciiTheme="minorHAnsi" w:eastAsiaTheme="minorEastAsia" w:hAnsiTheme="minorHAnsi" w:cstheme="minorBidi"/>
          <w:b w:val="0"/>
          <w:bCs w:val="0"/>
          <w:noProof/>
          <w:sz w:val="24"/>
          <w:szCs w:val="24"/>
        </w:rPr>
      </w:pPr>
      <w:hyperlink w:anchor="_Toc499804627" w:history="1">
        <w:r w:rsidR="00737F3A" w:rsidRPr="00DA42BC">
          <w:rPr>
            <w:rStyle w:val="Lienhypertexte"/>
            <w:rFonts w:asciiTheme="minorHAnsi" w:hAnsiTheme="minorHAnsi"/>
            <w:b w:val="0"/>
            <w:noProof/>
          </w:rPr>
          <w:t>4.1</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Durée des projets</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_Toc499804627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10</w:t>
        </w:r>
        <w:r w:rsidR="00737F3A" w:rsidRPr="00DA42BC">
          <w:rPr>
            <w:rFonts w:asciiTheme="minorHAnsi" w:hAnsiTheme="minorHAnsi"/>
            <w:b w:val="0"/>
            <w:noProof/>
            <w:webHidden/>
            <w:sz w:val="24"/>
            <w:szCs w:val="24"/>
          </w:rPr>
          <w:fldChar w:fldCharType="end"/>
        </w:r>
      </w:hyperlink>
    </w:p>
    <w:p w:rsidR="00737F3A" w:rsidRPr="00DA42BC" w:rsidRDefault="00904C63">
      <w:pPr>
        <w:pStyle w:val="TM2"/>
        <w:rPr>
          <w:rFonts w:asciiTheme="minorHAnsi" w:eastAsiaTheme="minorEastAsia" w:hAnsiTheme="minorHAnsi" w:cstheme="minorBidi"/>
          <w:b w:val="0"/>
          <w:bCs w:val="0"/>
          <w:noProof/>
          <w:sz w:val="24"/>
          <w:szCs w:val="24"/>
        </w:rPr>
      </w:pPr>
      <w:hyperlink w:anchor="_Toc499804628" w:history="1">
        <w:r w:rsidR="00737F3A" w:rsidRPr="00DA42BC">
          <w:rPr>
            <w:rStyle w:val="Lienhypertexte"/>
            <w:rFonts w:asciiTheme="minorHAnsi" w:hAnsiTheme="minorHAnsi"/>
            <w:b w:val="0"/>
            <w:noProof/>
          </w:rPr>
          <w:t>4.2</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Structures concernées et bénéficiaires de la subvention</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_Toc499804628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10</w:t>
        </w:r>
        <w:r w:rsidR="00737F3A" w:rsidRPr="00DA42BC">
          <w:rPr>
            <w:rFonts w:asciiTheme="minorHAnsi" w:hAnsiTheme="minorHAnsi"/>
            <w:b w:val="0"/>
            <w:noProof/>
            <w:webHidden/>
            <w:sz w:val="24"/>
            <w:szCs w:val="24"/>
          </w:rPr>
          <w:fldChar w:fldCharType="end"/>
        </w:r>
      </w:hyperlink>
    </w:p>
    <w:p w:rsidR="00737F3A" w:rsidRPr="00DA42BC" w:rsidRDefault="00904C63">
      <w:pPr>
        <w:pStyle w:val="TM2"/>
        <w:rPr>
          <w:rFonts w:asciiTheme="minorHAnsi" w:eastAsiaTheme="minorEastAsia" w:hAnsiTheme="minorHAnsi" w:cstheme="minorBidi"/>
          <w:b w:val="0"/>
          <w:bCs w:val="0"/>
          <w:noProof/>
          <w:sz w:val="24"/>
          <w:szCs w:val="24"/>
        </w:rPr>
      </w:pPr>
      <w:hyperlink w:anchor="_Toc499804629" w:history="1">
        <w:r w:rsidR="00737F3A" w:rsidRPr="00DA42BC">
          <w:rPr>
            <w:rStyle w:val="Lienhypertexte"/>
            <w:rFonts w:asciiTheme="minorHAnsi" w:hAnsiTheme="minorHAnsi"/>
            <w:b w:val="0"/>
            <w:noProof/>
          </w:rPr>
          <w:t>4.3</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Équipes partenaires éligibles</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_Toc499804629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10</w:t>
        </w:r>
        <w:r w:rsidR="00737F3A" w:rsidRPr="00DA42BC">
          <w:rPr>
            <w:rFonts w:asciiTheme="minorHAnsi" w:hAnsiTheme="minorHAnsi"/>
            <w:b w:val="0"/>
            <w:noProof/>
            <w:webHidden/>
            <w:sz w:val="24"/>
            <w:szCs w:val="24"/>
          </w:rPr>
          <w:fldChar w:fldCharType="end"/>
        </w:r>
      </w:hyperlink>
    </w:p>
    <w:p w:rsidR="00737F3A" w:rsidRPr="00DA42BC" w:rsidRDefault="00904C63">
      <w:pPr>
        <w:pStyle w:val="TM2"/>
        <w:rPr>
          <w:rStyle w:val="Lienhypertexte"/>
          <w:rFonts w:asciiTheme="minorHAnsi" w:hAnsiTheme="minorHAnsi"/>
          <w:b w:val="0"/>
          <w:noProof/>
        </w:rPr>
      </w:pPr>
      <w:hyperlink w:anchor="_Toc499804630" w:history="1">
        <w:r w:rsidR="00737F3A" w:rsidRPr="00DA42BC">
          <w:rPr>
            <w:rStyle w:val="Lienhypertexte"/>
            <w:rFonts w:asciiTheme="minorHAnsi" w:hAnsiTheme="minorHAnsi"/>
            <w:b w:val="0"/>
            <w:noProof/>
          </w:rPr>
          <w:t>4.4</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Coordinateur du projet</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_Toc499804630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10</w:t>
        </w:r>
        <w:r w:rsidR="00737F3A" w:rsidRPr="00DA42BC">
          <w:rPr>
            <w:rFonts w:asciiTheme="minorHAnsi" w:hAnsiTheme="minorHAnsi"/>
            <w:b w:val="0"/>
            <w:noProof/>
            <w:webHidden/>
            <w:sz w:val="24"/>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Style w:val="Lienhypertexte"/>
          <w:rFonts w:asciiTheme="minorHAnsi" w:hAnsiTheme="minorHAnsi"/>
        </w:rPr>
      </w:pPr>
      <w:hyperlink w:anchor="_Toc499804631" w:history="1">
        <w:r w:rsidR="00737F3A" w:rsidRPr="00DA42BC">
          <w:rPr>
            <w:rStyle w:val="Lienhypertexte"/>
            <w:rFonts w:asciiTheme="minorHAnsi" w:hAnsiTheme="minorHAnsi"/>
          </w:rPr>
          <w:t>5.-</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Processus de sélection des projets</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_Toc499804631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11</w:t>
        </w:r>
        <w:r w:rsidR="00737F3A" w:rsidRPr="00DA42BC">
          <w:rPr>
            <w:rFonts w:asciiTheme="minorHAnsi" w:hAnsiTheme="minorHAnsi"/>
            <w:webHidden/>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Fonts w:asciiTheme="minorHAnsi" w:eastAsiaTheme="minorEastAsia" w:hAnsiTheme="minorHAnsi" w:cstheme="minorBidi"/>
          <w:bCs w:val="0"/>
          <w:szCs w:val="24"/>
        </w:rPr>
      </w:pPr>
      <w:hyperlink w:anchor="_Toc499804632" w:history="1">
        <w:r w:rsidR="00737F3A" w:rsidRPr="00DA42BC">
          <w:rPr>
            <w:rStyle w:val="Lienhypertexte"/>
            <w:rFonts w:asciiTheme="minorHAnsi" w:hAnsiTheme="minorHAnsi"/>
          </w:rPr>
          <w:t>6.-</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Critères d’éligibilité et d’évaluation des projets</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_Toc499804632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11</w:t>
        </w:r>
        <w:r w:rsidR="00737F3A" w:rsidRPr="00DA42BC">
          <w:rPr>
            <w:rFonts w:asciiTheme="minorHAnsi" w:hAnsiTheme="minorHAnsi"/>
            <w:webHidden/>
            <w:szCs w:val="24"/>
          </w:rPr>
          <w:fldChar w:fldCharType="end"/>
        </w:r>
      </w:hyperlink>
    </w:p>
    <w:p w:rsidR="00737F3A" w:rsidRPr="00DA42BC" w:rsidRDefault="00904C63">
      <w:pPr>
        <w:pStyle w:val="TM2"/>
        <w:rPr>
          <w:rFonts w:asciiTheme="minorHAnsi" w:eastAsiaTheme="minorEastAsia" w:hAnsiTheme="minorHAnsi" w:cstheme="minorBidi"/>
          <w:b w:val="0"/>
          <w:bCs w:val="0"/>
          <w:noProof/>
          <w:sz w:val="24"/>
          <w:szCs w:val="24"/>
        </w:rPr>
      </w:pPr>
      <w:hyperlink w:anchor="_Toc499804633" w:history="1">
        <w:r w:rsidR="00737F3A" w:rsidRPr="00DA42BC">
          <w:rPr>
            <w:rStyle w:val="Lienhypertexte"/>
            <w:rFonts w:asciiTheme="minorHAnsi" w:hAnsiTheme="minorHAnsi"/>
            <w:b w:val="0"/>
            <w:noProof/>
          </w:rPr>
          <w:t>6.1</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Critères de recevabilité</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_Toc499804633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11</w:t>
        </w:r>
        <w:r w:rsidR="00737F3A" w:rsidRPr="00DA42BC">
          <w:rPr>
            <w:rFonts w:asciiTheme="minorHAnsi" w:hAnsiTheme="minorHAnsi"/>
            <w:b w:val="0"/>
            <w:noProof/>
            <w:webHidden/>
            <w:sz w:val="24"/>
            <w:szCs w:val="24"/>
          </w:rPr>
          <w:fldChar w:fldCharType="end"/>
        </w:r>
      </w:hyperlink>
    </w:p>
    <w:p w:rsidR="00737F3A" w:rsidRPr="00DA42BC" w:rsidRDefault="00904C63">
      <w:pPr>
        <w:pStyle w:val="TM2"/>
        <w:rPr>
          <w:rFonts w:asciiTheme="minorHAnsi" w:eastAsiaTheme="minorEastAsia" w:hAnsiTheme="minorHAnsi" w:cstheme="minorBidi"/>
          <w:b w:val="0"/>
          <w:bCs w:val="0"/>
          <w:noProof/>
          <w:sz w:val="24"/>
          <w:szCs w:val="24"/>
        </w:rPr>
      </w:pPr>
      <w:hyperlink w:anchor="_Toc499804634" w:history="1">
        <w:r w:rsidR="00737F3A" w:rsidRPr="00DA42BC">
          <w:rPr>
            <w:rStyle w:val="Lienhypertexte"/>
            <w:rFonts w:asciiTheme="minorHAnsi" w:hAnsiTheme="minorHAnsi"/>
            <w:b w:val="0"/>
            <w:noProof/>
          </w:rPr>
          <w:t>6.2</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Critères d’éligibilité</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_Toc499804634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12</w:t>
        </w:r>
        <w:r w:rsidR="00737F3A" w:rsidRPr="00DA42BC">
          <w:rPr>
            <w:rFonts w:asciiTheme="minorHAnsi" w:hAnsiTheme="minorHAnsi"/>
            <w:b w:val="0"/>
            <w:noProof/>
            <w:webHidden/>
            <w:sz w:val="24"/>
            <w:szCs w:val="24"/>
          </w:rPr>
          <w:fldChar w:fldCharType="end"/>
        </w:r>
      </w:hyperlink>
    </w:p>
    <w:p w:rsidR="00737F3A" w:rsidRPr="00DA42BC" w:rsidRDefault="00904C63">
      <w:pPr>
        <w:pStyle w:val="TM2"/>
        <w:rPr>
          <w:rStyle w:val="Lienhypertexte"/>
          <w:rFonts w:asciiTheme="minorHAnsi" w:hAnsiTheme="minorHAnsi"/>
          <w:b w:val="0"/>
          <w:noProof/>
        </w:rPr>
      </w:pPr>
      <w:hyperlink w:anchor="_Toc499804635" w:history="1">
        <w:r w:rsidR="00737F3A" w:rsidRPr="00DA42BC">
          <w:rPr>
            <w:rStyle w:val="Lienhypertexte"/>
            <w:rFonts w:asciiTheme="minorHAnsi" w:hAnsiTheme="minorHAnsi"/>
            <w:b w:val="0"/>
            <w:noProof/>
          </w:rPr>
          <w:t>6.3</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Critères d’évaluation</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_Toc499804635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12</w:t>
        </w:r>
        <w:r w:rsidR="00737F3A" w:rsidRPr="00DA42BC">
          <w:rPr>
            <w:rFonts w:asciiTheme="minorHAnsi" w:hAnsiTheme="minorHAnsi"/>
            <w:b w:val="0"/>
            <w:noProof/>
            <w:webHidden/>
            <w:sz w:val="24"/>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Fonts w:asciiTheme="minorHAnsi" w:eastAsiaTheme="minorEastAsia" w:hAnsiTheme="minorHAnsi" w:cstheme="minorBidi"/>
          <w:bCs w:val="0"/>
          <w:szCs w:val="24"/>
        </w:rPr>
      </w:pPr>
      <w:hyperlink w:anchor="_Toc499804636" w:history="1">
        <w:r w:rsidR="00737F3A" w:rsidRPr="00DA42BC">
          <w:rPr>
            <w:rStyle w:val="Lienhypertexte"/>
            <w:rFonts w:asciiTheme="minorHAnsi" w:hAnsiTheme="minorHAnsi"/>
          </w:rPr>
          <w:t>7.-</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Dispositions générales</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_Toc499804636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13</w:t>
        </w:r>
        <w:r w:rsidR="00737F3A" w:rsidRPr="00DA42BC">
          <w:rPr>
            <w:rFonts w:asciiTheme="minorHAnsi" w:hAnsiTheme="minorHAnsi"/>
            <w:webHidden/>
            <w:szCs w:val="24"/>
          </w:rPr>
          <w:fldChar w:fldCharType="end"/>
        </w:r>
      </w:hyperlink>
    </w:p>
    <w:p w:rsidR="00737F3A" w:rsidRPr="00DA42BC" w:rsidRDefault="00904C63">
      <w:pPr>
        <w:pStyle w:val="TM2"/>
        <w:rPr>
          <w:rFonts w:asciiTheme="minorHAnsi" w:eastAsiaTheme="minorEastAsia" w:hAnsiTheme="minorHAnsi" w:cstheme="minorBidi"/>
          <w:b w:val="0"/>
          <w:bCs w:val="0"/>
          <w:noProof/>
          <w:sz w:val="24"/>
          <w:szCs w:val="24"/>
        </w:rPr>
      </w:pPr>
      <w:hyperlink w:anchor="_Toc499804637" w:history="1">
        <w:r w:rsidR="00737F3A" w:rsidRPr="00DA42BC">
          <w:rPr>
            <w:rStyle w:val="Lienhypertexte"/>
            <w:rFonts w:asciiTheme="minorHAnsi" w:hAnsiTheme="minorHAnsi"/>
            <w:b w:val="0"/>
            <w:noProof/>
          </w:rPr>
          <w:t>7.1</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Financement</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_Toc499804637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13</w:t>
        </w:r>
        <w:r w:rsidR="00737F3A" w:rsidRPr="00DA42BC">
          <w:rPr>
            <w:rFonts w:asciiTheme="minorHAnsi" w:hAnsiTheme="minorHAnsi"/>
            <w:b w:val="0"/>
            <w:noProof/>
            <w:webHidden/>
            <w:sz w:val="24"/>
            <w:szCs w:val="24"/>
          </w:rPr>
          <w:fldChar w:fldCharType="end"/>
        </w:r>
      </w:hyperlink>
    </w:p>
    <w:p w:rsidR="00737F3A" w:rsidRPr="00DA42BC" w:rsidRDefault="00904C63">
      <w:pPr>
        <w:pStyle w:val="TM2"/>
        <w:rPr>
          <w:rStyle w:val="Lienhypertexte"/>
          <w:rFonts w:asciiTheme="minorHAnsi" w:hAnsiTheme="minorHAnsi"/>
          <w:b w:val="0"/>
          <w:noProof/>
        </w:rPr>
      </w:pPr>
      <w:hyperlink w:anchor="_Toc499804638" w:history="1">
        <w:r w:rsidR="00737F3A" w:rsidRPr="00DA42BC">
          <w:rPr>
            <w:rStyle w:val="Lienhypertexte"/>
            <w:rFonts w:asciiTheme="minorHAnsi" w:hAnsiTheme="minorHAnsi"/>
            <w:b w:val="0"/>
            <w:noProof/>
          </w:rPr>
          <w:t>7.2</w:t>
        </w:r>
        <w:r w:rsidR="00737F3A" w:rsidRPr="00DA42BC">
          <w:rPr>
            <w:rFonts w:asciiTheme="minorHAnsi" w:eastAsiaTheme="minorEastAsia" w:hAnsiTheme="minorHAnsi" w:cstheme="minorBidi"/>
            <w:b w:val="0"/>
            <w:bCs w:val="0"/>
            <w:noProof/>
            <w:sz w:val="24"/>
            <w:szCs w:val="24"/>
          </w:rPr>
          <w:tab/>
        </w:r>
        <w:r w:rsidR="00737F3A" w:rsidRPr="00DA42BC">
          <w:rPr>
            <w:rStyle w:val="Lienhypertexte"/>
            <w:rFonts w:asciiTheme="minorHAnsi" w:hAnsiTheme="minorHAnsi"/>
            <w:b w:val="0"/>
            <w:noProof/>
          </w:rPr>
          <w:t>Communication</w:t>
        </w:r>
        <w:r w:rsidR="00737F3A" w:rsidRPr="00DA42BC">
          <w:rPr>
            <w:rFonts w:asciiTheme="minorHAnsi" w:hAnsiTheme="minorHAnsi"/>
            <w:b w:val="0"/>
            <w:noProof/>
            <w:webHidden/>
            <w:sz w:val="24"/>
            <w:szCs w:val="24"/>
          </w:rPr>
          <w:tab/>
        </w:r>
        <w:r w:rsidR="00737F3A" w:rsidRPr="00DA42BC">
          <w:rPr>
            <w:rFonts w:asciiTheme="minorHAnsi" w:hAnsiTheme="minorHAnsi"/>
            <w:b w:val="0"/>
            <w:noProof/>
            <w:webHidden/>
            <w:sz w:val="24"/>
            <w:szCs w:val="24"/>
          </w:rPr>
          <w:fldChar w:fldCharType="begin"/>
        </w:r>
        <w:r w:rsidR="00737F3A" w:rsidRPr="00DA42BC">
          <w:rPr>
            <w:rFonts w:asciiTheme="minorHAnsi" w:hAnsiTheme="minorHAnsi"/>
            <w:b w:val="0"/>
            <w:noProof/>
            <w:webHidden/>
            <w:sz w:val="24"/>
            <w:szCs w:val="24"/>
          </w:rPr>
          <w:instrText xml:space="preserve"> PAGEREF _Toc499804638 \h </w:instrText>
        </w:r>
        <w:r w:rsidR="00737F3A" w:rsidRPr="00DA42BC">
          <w:rPr>
            <w:rFonts w:asciiTheme="minorHAnsi" w:hAnsiTheme="minorHAnsi"/>
            <w:b w:val="0"/>
            <w:noProof/>
            <w:webHidden/>
            <w:sz w:val="24"/>
            <w:szCs w:val="24"/>
          </w:rPr>
        </w:r>
        <w:r w:rsidR="00737F3A" w:rsidRPr="00DA42BC">
          <w:rPr>
            <w:rFonts w:asciiTheme="minorHAnsi" w:hAnsiTheme="minorHAnsi"/>
            <w:b w:val="0"/>
            <w:noProof/>
            <w:webHidden/>
            <w:sz w:val="24"/>
            <w:szCs w:val="24"/>
          </w:rPr>
          <w:fldChar w:fldCharType="separate"/>
        </w:r>
        <w:r>
          <w:rPr>
            <w:rFonts w:asciiTheme="minorHAnsi" w:hAnsiTheme="minorHAnsi"/>
            <w:b w:val="0"/>
            <w:noProof/>
            <w:webHidden/>
            <w:sz w:val="24"/>
            <w:szCs w:val="24"/>
          </w:rPr>
          <w:t>14</w:t>
        </w:r>
        <w:r w:rsidR="00737F3A" w:rsidRPr="00DA42BC">
          <w:rPr>
            <w:rFonts w:asciiTheme="minorHAnsi" w:hAnsiTheme="minorHAnsi"/>
            <w:b w:val="0"/>
            <w:noProof/>
            <w:webHidden/>
            <w:sz w:val="24"/>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Style w:val="Lienhypertexte"/>
          <w:rFonts w:asciiTheme="minorHAnsi" w:hAnsiTheme="minorHAnsi"/>
        </w:rPr>
      </w:pPr>
      <w:hyperlink w:anchor="_Toc499804639" w:history="1">
        <w:r w:rsidR="00737F3A" w:rsidRPr="00DA42BC">
          <w:rPr>
            <w:rStyle w:val="Lienhypertexte"/>
            <w:rFonts w:asciiTheme="minorHAnsi" w:hAnsiTheme="minorHAnsi"/>
          </w:rPr>
          <w:t>8.-</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Calendrier de l’appel à projets et de la sélection</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_Toc499804639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14</w:t>
        </w:r>
        <w:r w:rsidR="00737F3A" w:rsidRPr="00DA42BC">
          <w:rPr>
            <w:rFonts w:asciiTheme="minorHAnsi" w:hAnsiTheme="minorHAnsi"/>
            <w:webHidden/>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Style w:val="Lienhypertexte"/>
          <w:rFonts w:asciiTheme="minorHAnsi" w:hAnsiTheme="minorHAnsi"/>
        </w:rPr>
      </w:pPr>
      <w:hyperlink w:anchor="_Toc499804640" w:history="1">
        <w:r w:rsidR="00737F3A" w:rsidRPr="00DA42BC">
          <w:rPr>
            <w:rStyle w:val="Lienhypertexte"/>
            <w:rFonts w:asciiTheme="minorHAnsi" w:hAnsiTheme="minorHAnsi"/>
          </w:rPr>
          <w:t>9.-</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Modalité de soumission des dossiers de candidature</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_Toc499804640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14</w:t>
        </w:r>
        <w:r w:rsidR="00737F3A" w:rsidRPr="00DA42BC">
          <w:rPr>
            <w:rFonts w:asciiTheme="minorHAnsi" w:hAnsiTheme="minorHAnsi"/>
            <w:webHidden/>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Style w:val="Lienhypertexte"/>
          <w:rFonts w:asciiTheme="minorHAnsi" w:hAnsiTheme="minorHAnsi"/>
        </w:rPr>
      </w:pPr>
      <w:hyperlink w:anchor="_Toc499804641" w:history="1">
        <w:r w:rsidR="00737F3A" w:rsidRPr="00DA42BC">
          <w:rPr>
            <w:rStyle w:val="Lienhypertexte"/>
            <w:rFonts w:asciiTheme="minorHAnsi" w:hAnsiTheme="minorHAnsi"/>
          </w:rPr>
          <w:t>10.-</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Publication des résultats</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_Toc499804641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15</w:t>
        </w:r>
        <w:r w:rsidR="00737F3A" w:rsidRPr="00DA42BC">
          <w:rPr>
            <w:rFonts w:asciiTheme="minorHAnsi" w:hAnsiTheme="minorHAnsi"/>
            <w:webHidden/>
            <w:szCs w:val="24"/>
          </w:rPr>
          <w:fldChar w:fldCharType="end"/>
        </w:r>
      </w:hyperlink>
    </w:p>
    <w:p w:rsidR="00737F3A" w:rsidRPr="00DA42BC" w:rsidRDefault="00737F3A" w:rsidP="00737F3A">
      <w:pPr>
        <w:rPr>
          <w:rFonts w:asciiTheme="minorHAnsi" w:eastAsiaTheme="minorEastAsia" w:hAnsiTheme="minorHAnsi"/>
          <w:sz w:val="24"/>
          <w:szCs w:val="24"/>
        </w:rPr>
      </w:pPr>
    </w:p>
    <w:p w:rsidR="00737F3A" w:rsidRPr="00DA42BC" w:rsidRDefault="00904C63">
      <w:pPr>
        <w:pStyle w:val="TM1"/>
        <w:rPr>
          <w:rFonts w:asciiTheme="minorHAnsi" w:eastAsiaTheme="minorEastAsia" w:hAnsiTheme="minorHAnsi" w:cstheme="minorBidi"/>
          <w:bCs w:val="0"/>
          <w:szCs w:val="24"/>
        </w:rPr>
      </w:pPr>
      <w:hyperlink w:anchor="_Toc499804642" w:history="1">
        <w:r w:rsidR="00737F3A" w:rsidRPr="00DA42BC">
          <w:rPr>
            <w:rStyle w:val="Lienhypertexte"/>
            <w:rFonts w:asciiTheme="minorHAnsi" w:hAnsiTheme="minorHAnsi"/>
          </w:rPr>
          <w:t>11.-</w:t>
        </w:r>
        <w:r w:rsidR="00737F3A" w:rsidRPr="00DA42BC">
          <w:rPr>
            <w:rFonts w:asciiTheme="minorHAnsi" w:eastAsiaTheme="minorEastAsia" w:hAnsiTheme="minorHAnsi" w:cstheme="minorBidi"/>
            <w:bCs w:val="0"/>
            <w:szCs w:val="24"/>
          </w:rPr>
          <w:tab/>
        </w:r>
        <w:r w:rsidR="00737F3A" w:rsidRPr="00DA42BC">
          <w:rPr>
            <w:rStyle w:val="Lienhypertexte"/>
            <w:rFonts w:asciiTheme="minorHAnsi" w:hAnsiTheme="minorHAnsi"/>
          </w:rPr>
          <w:t>Contacts</w:t>
        </w:r>
        <w:r w:rsidR="00737F3A" w:rsidRPr="00DA42BC">
          <w:rPr>
            <w:rFonts w:asciiTheme="minorHAnsi" w:hAnsiTheme="minorHAnsi"/>
            <w:webHidden/>
            <w:szCs w:val="24"/>
          </w:rPr>
          <w:tab/>
        </w:r>
        <w:r w:rsidR="00737F3A" w:rsidRPr="00DA42BC">
          <w:rPr>
            <w:rFonts w:asciiTheme="minorHAnsi" w:hAnsiTheme="minorHAnsi"/>
            <w:webHidden/>
            <w:szCs w:val="24"/>
          </w:rPr>
          <w:fldChar w:fldCharType="begin"/>
        </w:r>
        <w:r w:rsidR="00737F3A" w:rsidRPr="00DA42BC">
          <w:rPr>
            <w:rFonts w:asciiTheme="minorHAnsi" w:hAnsiTheme="minorHAnsi"/>
            <w:webHidden/>
            <w:szCs w:val="24"/>
          </w:rPr>
          <w:instrText xml:space="preserve"> PAGEREF _Toc499804642 \h </w:instrText>
        </w:r>
        <w:r w:rsidR="00737F3A" w:rsidRPr="00DA42BC">
          <w:rPr>
            <w:rFonts w:asciiTheme="minorHAnsi" w:hAnsiTheme="minorHAnsi"/>
            <w:webHidden/>
            <w:szCs w:val="24"/>
          </w:rPr>
        </w:r>
        <w:r w:rsidR="00737F3A" w:rsidRPr="00DA42BC">
          <w:rPr>
            <w:rFonts w:asciiTheme="minorHAnsi" w:hAnsiTheme="minorHAnsi"/>
            <w:webHidden/>
            <w:szCs w:val="24"/>
          </w:rPr>
          <w:fldChar w:fldCharType="separate"/>
        </w:r>
        <w:r>
          <w:rPr>
            <w:rFonts w:asciiTheme="minorHAnsi" w:hAnsiTheme="minorHAnsi"/>
            <w:webHidden/>
            <w:szCs w:val="24"/>
          </w:rPr>
          <w:t>15</w:t>
        </w:r>
        <w:r w:rsidR="00737F3A" w:rsidRPr="00DA42BC">
          <w:rPr>
            <w:rFonts w:asciiTheme="minorHAnsi" w:hAnsiTheme="minorHAnsi"/>
            <w:webHidden/>
            <w:szCs w:val="24"/>
          </w:rPr>
          <w:fldChar w:fldCharType="end"/>
        </w:r>
      </w:hyperlink>
    </w:p>
    <w:p w:rsidR="005B2D4D" w:rsidRDefault="00737F3A" w:rsidP="005B2D4D">
      <w:r w:rsidRPr="00DA42BC">
        <w:rPr>
          <w:rFonts w:asciiTheme="minorHAnsi" w:hAnsiTheme="minorHAnsi"/>
          <w:sz w:val="24"/>
          <w:szCs w:val="24"/>
        </w:rPr>
        <w:fldChar w:fldCharType="end"/>
      </w:r>
    </w:p>
    <w:p w:rsidR="00CE0FD9" w:rsidRDefault="00CE0FD9" w:rsidP="00EA580A">
      <w:pPr>
        <w:tabs>
          <w:tab w:val="right" w:leader="underscore" w:pos="9498"/>
        </w:tabs>
        <w:spacing w:line="480" w:lineRule="auto"/>
        <w:ind w:left="-284" w:right="-172"/>
        <w:rPr>
          <w:rFonts w:cs="Tahoma"/>
        </w:rPr>
      </w:pPr>
      <w:r>
        <w:rPr>
          <w:rFonts w:cs="Tahoma"/>
        </w:rPr>
        <w:br w:type="page"/>
      </w:r>
    </w:p>
    <w:p w:rsidR="00706B04" w:rsidRDefault="00706B04" w:rsidP="00706B04">
      <w:bookmarkStart w:id="1" w:name="_Toc403578756"/>
      <w:bookmarkStart w:id="2" w:name="_Toc468797902"/>
      <w:bookmarkStart w:id="3" w:name="_Toc468798594"/>
    </w:p>
    <w:p w:rsidR="00706B04" w:rsidRDefault="00706B04" w:rsidP="00706B04"/>
    <w:p w:rsidR="00BF7C18" w:rsidRDefault="00BF7C18" w:rsidP="00706B04"/>
    <w:p w:rsidR="00617A62" w:rsidRPr="008C296C" w:rsidRDefault="00AB53F9" w:rsidP="00DA42BC">
      <w:pPr>
        <w:pStyle w:val="Titre"/>
      </w:pPr>
      <w:bookmarkStart w:id="4" w:name="_Toc468800080"/>
      <w:bookmarkStart w:id="5" w:name="_Toc499804620"/>
      <w:r w:rsidRPr="008C296C">
        <w:t>Objectifs et  actions</w:t>
      </w:r>
      <w:r w:rsidR="00617A62" w:rsidRPr="008C296C">
        <w:t xml:space="preserve"> du Plan Cancer 2014-2019 concernés par cet appel à projet</w:t>
      </w:r>
      <w:bookmarkEnd w:id="1"/>
      <w:r w:rsidR="00A62C03" w:rsidRPr="008C296C">
        <w:t>s</w:t>
      </w:r>
      <w:bookmarkEnd w:id="2"/>
      <w:bookmarkEnd w:id="3"/>
      <w:bookmarkEnd w:id="4"/>
      <w:bookmarkEnd w:id="5"/>
    </w:p>
    <w:p w:rsidR="00BF7C18" w:rsidRDefault="00BF7C18" w:rsidP="006125BC">
      <w:pPr>
        <w:autoSpaceDE w:val="0"/>
        <w:autoSpaceDN w:val="0"/>
        <w:adjustRightInd w:val="0"/>
        <w:rPr>
          <w:rFonts w:cs="Tahoma"/>
          <w:b/>
          <w:color w:val="0085BD"/>
        </w:rPr>
      </w:pPr>
    </w:p>
    <w:p w:rsidR="00BF7C18" w:rsidRDefault="00BF7C18" w:rsidP="006125BC">
      <w:pPr>
        <w:autoSpaceDE w:val="0"/>
        <w:autoSpaceDN w:val="0"/>
        <w:adjustRightInd w:val="0"/>
        <w:rPr>
          <w:rFonts w:cs="Tahoma"/>
          <w:b/>
          <w:color w:val="0085BD"/>
        </w:rPr>
      </w:pPr>
    </w:p>
    <w:p w:rsidR="006125BC" w:rsidRPr="00EE187F" w:rsidRDefault="00617A62" w:rsidP="006125BC">
      <w:pPr>
        <w:autoSpaceDE w:val="0"/>
        <w:autoSpaceDN w:val="0"/>
        <w:adjustRightInd w:val="0"/>
        <w:rPr>
          <w:rFonts w:cs="Tahoma"/>
          <w:b/>
          <w:color w:val="0085BD"/>
        </w:rPr>
      </w:pPr>
      <w:r w:rsidRPr="00EE187F">
        <w:rPr>
          <w:rFonts w:cs="Tahoma"/>
          <w:b/>
          <w:color w:val="0085BD"/>
        </w:rPr>
        <w:t>Prévention</w:t>
      </w:r>
      <w:r w:rsidR="00EE187F" w:rsidRPr="00EE187F">
        <w:rPr>
          <w:rFonts w:cs="Tahoma"/>
          <w:b/>
          <w:color w:val="0085BD"/>
        </w:rPr>
        <w:t> :</w:t>
      </w:r>
    </w:p>
    <w:p w:rsidR="00EE187F" w:rsidRPr="00EE187F" w:rsidRDefault="00EE187F" w:rsidP="006125BC">
      <w:pPr>
        <w:autoSpaceDE w:val="0"/>
        <w:autoSpaceDN w:val="0"/>
        <w:adjustRightInd w:val="0"/>
        <w:rPr>
          <w:rFonts w:cs="Tahoma"/>
          <w:color w:val="E36C0A" w:themeColor="accent6" w:themeShade="BF"/>
        </w:rPr>
      </w:pPr>
      <w:r w:rsidRPr="00EE187F">
        <w:rPr>
          <w:rFonts w:cs="Tahoma"/>
          <w:color w:val="E36C0A" w:themeColor="accent6" w:themeShade="BF"/>
        </w:rPr>
        <w:t>Diminuer le nombre de cancers liés à l’alcool</w:t>
      </w:r>
    </w:p>
    <w:p w:rsidR="001E7B36" w:rsidRPr="00A03664" w:rsidRDefault="001E7B36" w:rsidP="00AC1F5D">
      <w:pPr>
        <w:autoSpaceDE w:val="0"/>
        <w:autoSpaceDN w:val="0"/>
        <w:adjustRightInd w:val="0"/>
        <w:spacing w:line="240" w:lineRule="auto"/>
        <w:rPr>
          <w:rFonts w:cs="Tahoma"/>
        </w:rPr>
      </w:pPr>
      <w:r>
        <w:rPr>
          <w:rFonts w:cs="Tahoma"/>
          <w:color w:val="E36C0A" w:themeColor="accent6" w:themeShade="BF"/>
        </w:rPr>
        <w:t xml:space="preserve">Action 11.1 </w:t>
      </w:r>
      <w:r w:rsidRPr="00A03664">
        <w:rPr>
          <w:rFonts w:cs="Tahoma"/>
        </w:rPr>
        <w:t>Améliorer le respect des mesures d’encadrement de l’offre.</w:t>
      </w:r>
    </w:p>
    <w:p w:rsidR="001E7B36" w:rsidRDefault="001E7B36" w:rsidP="00AC1F5D">
      <w:pPr>
        <w:autoSpaceDE w:val="0"/>
        <w:autoSpaceDN w:val="0"/>
        <w:adjustRightInd w:val="0"/>
        <w:spacing w:line="240" w:lineRule="auto"/>
        <w:rPr>
          <w:rFonts w:cs="Tahoma"/>
          <w:color w:val="E36C0A" w:themeColor="accent6" w:themeShade="BF"/>
        </w:rPr>
      </w:pPr>
      <w:r>
        <w:rPr>
          <w:rFonts w:cs="Tahoma"/>
          <w:color w:val="E36C0A" w:themeColor="accent6" w:themeShade="BF"/>
        </w:rPr>
        <w:t xml:space="preserve">Action 11.2 : </w:t>
      </w:r>
      <w:r w:rsidRPr="00A03664">
        <w:rPr>
          <w:rFonts w:cs="Tahoma"/>
        </w:rPr>
        <w:t>Aider les personnes à l’arrêt de la consommation excessive d’alcool.</w:t>
      </w:r>
    </w:p>
    <w:p w:rsidR="001E7B36" w:rsidRDefault="001E7B36" w:rsidP="00AC1F5D">
      <w:pPr>
        <w:autoSpaceDE w:val="0"/>
        <w:autoSpaceDN w:val="0"/>
        <w:adjustRightInd w:val="0"/>
        <w:spacing w:line="240" w:lineRule="auto"/>
        <w:rPr>
          <w:rFonts w:cs="Tahoma"/>
          <w:color w:val="E36C0A" w:themeColor="accent6" w:themeShade="BF"/>
        </w:rPr>
      </w:pPr>
      <w:r>
        <w:rPr>
          <w:rFonts w:cs="Tahoma"/>
          <w:color w:val="E36C0A" w:themeColor="accent6" w:themeShade="BF"/>
        </w:rPr>
        <w:t xml:space="preserve">Action 11.3 : </w:t>
      </w:r>
      <w:r w:rsidRPr="00A03664">
        <w:rPr>
          <w:rFonts w:cs="Tahoma"/>
        </w:rPr>
        <w:t>Améliorer les connaissances sur les liens entre alcool et cancer.</w:t>
      </w:r>
    </w:p>
    <w:p w:rsidR="001E7B36" w:rsidRDefault="001E7B36" w:rsidP="00AC1F5D">
      <w:pPr>
        <w:autoSpaceDE w:val="0"/>
        <w:autoSpaceDN w:val="0"/>
        <w:adjustRightInd w:val="0"/>
        <w:spacing w:line="240" w:lineRule="auto"/>
        <w:rPr>
          <w:rFonts w:cs="Tahoma"/>
          <w:color w:val="E36C0A" w:themeColor="accent6" w:themeShade="BF"/>
        </w:rPr>
      </w:pPr>
      <w:r>
        <w:rPr>
          <w:rFonts w:cs="Tahoma"/>
          <w:color w:val="E36C0A" w:themeColor="accent6" w:themeShade="BF"/>
        </w:rPr>
        <w:t xml:space="preserve">Action 11.4 : </w:t>
      </w:r>
      <w:r w:rsidRPr="00A03664">
        <w:rPr>
          <w:rFonts w:cs="Tahoma"/>
        </w:rPr>
        <w:t>Expérimenter et conduire des actions de prévention de la consommation excessive d’alcool.</w:t>
      </w:r>
    </w:p>
    <w:p w:rsidR="00722CE3" w:rsidRDefault="00722CE3" w:rsidP="006125BC"/>
    <w:p w:rsidR="00BF7C18" w:rsidRDefault="00BF7C18" w:rsidP="006125BC"/>
    <w:p w:rsidR="00BF7C18" w:rsidRDefault="00BF7C18" w:rsidP="006125BC"/>
    <w:p w:rsidR="00BF7C18" w:rsidRPr="008C296C" w:rsidRDefault="00BF7C18" w:rsidP="006125BC"/>
    <w:p w:rsidR="00617A62" w:rsidRPr="009C3574" w:rsidRDefault="00617A62" w:rsidP="006125BC">
      <w:pPr>
        <w:autoSpaceDE w:val="0"/>
        <w:autoSpaceDN w:val="0"/>
        <w:adjustRightInd w:val="0"/>
        <w:rPr>
          <w:rFonts w:cs="Tahoma"/>
          <w:b/>
          <w:color w:val="0085BD"/>
        </w:rPr>
      </w:pPr>
      <w:r w:rsidRPr="009C3574">
        <w:rPr>
          <w:rFonts w:cs="Tahoma"/>
          <w:b/>
          <w:color w:val="0085BD"/>
        </w:rPr>
        <w:t>Dépistage :</w:t>
      </w:r>
      <w:r w:rsidR="00D46B9A" w:rsidRPr="009C3574">
        <w:rPr>
          <w:rFonts w:cs="Tahoma"/>
          <w:b/>
          <w:color w:val="0085BD"/>
        </w:rPr>
        <w:t xml:space="preserve">   </w:t>
      </w:r>
    </w:p>
    <w:p w:rsidR="00EB4286" w:rsidRPr="009C3574" w:rsidRDefault="00EB4286" w:rsidP="00EB4286">
      <w:pPr>
        <w:autoSpaceDE w:val="0"/>
        <w:autoSpaceDN w:val="0"/>
        <w:adjustRightInd w:val="0"/>
        <w:rPr>
          <w:rFonts w:cs="Tahoma"/>
          <w:color w:val="000000"/>
        </w:rPr>
      </w:pPr>
      <w:r w:rsidRPr="009C3574">
        <w:rPr>
          <w:rFonts w:cs="Tahoma"/>
          <w:color w:val="E36C0A" w:themeColor="accent6" w:themeShade="BF"/>
        </w:rPr>
        <w:t>Action 1.6</w:t>
      </w:r>
      <w:r w:rsidRPr="009C3574">
        <w:rPr>
          <w:rFonts w:cs="Tahoma"/>
          <w:color w:val="000000"/>
        </w:rPr>
        <w:t xml:space="preserve"> Accroître l’efficacité des programmes de dépistage organisé du cancer du sein et du cancer colorectal. </w:t>
      </w:r>
    </w:p>
    <w:p w:rsidR="00EB4286" w:rsidRPr="009C3574" w:rsidRDefault="00EB4286" w:rsidP="00EB4286">
      <w:pPr>
        <w:autoSpaceDE w:val="0"/>
        <w:autoSpaceDN w:val="0"/>
        <w:adjustRightInd w:val="0"/>
        <w:rPr>
          <w:rFonts w:cs="Tahoma"/>
          <w:color w:val="000000"/>
        </w:rPr>
      </w:pPr>
      <w:r w:rsidRPr="009C3574">
        <w:rPr>
          <w:rFonts w:cs="Tahoma"/>
          <w:color w:val="E36C0A" w:themeColor="accent6" w:themeShade="BF"/>
        </w:rPr>
        <w:t>Action 1.7</w:t>
      </w:r>
      <w:r w:rsidRPr="009C3574">
        <w:rPr>
          <w:rFonts w:cs="Tahoma"/>
          <w:color w:val="000000"/>
        </w:rPr>
        <w:t xml:space="preserve"> Lutter contre les inégalités d’accès et de recours aux programmes de dépistage.</w:t>
      </w:r>
    </w:p>
    <w:p w:rsidR="00EB4286" w:rsidRPr="009C3574" w:rsidRDefault="00EB4286" w:rsidP="00EB4286">
      <w:pPr>
        <w:autoSpaceDE w:val="0"/>
        <w:autoSpaceDN w:val="0"/>
        <w:adjustRightInd w:val="0"/>
        <w:rPr>
          <w:rFonts w:cs="Tahoma"/>
          <w:color w:val="000000"/>
        </w:rPr>
      </w:pPr>
      <w:r w:rsidRPr="009C3574">
        <w:rPr>
          <w:rFonts w:cs="Tahoma"/>
          <w:color w:val="E36C0A" w:themeColor="accent6" w:themeShade="BF"/>
        </w:rPr>
        <w:t>Action 1.8</w:t>
      </w:r>
      <w:r w:rsidRPr="009C3574">
        <w:rPr>
          <w:rFonts w:cs="Tahoma"/>
          <w:color w:val="000000"/>
        </w:rPr>
        <w:t xml:space="preserve"> Encourager la mise en place d’organisations territoriales, de coopération entre les différents acteurs et d’approches de dépistage réduisant les inégalités d’accès.</w:t>
      </w:r>
    </w:p>
    <w:p w:rsidR="00EB4286" w:rsidRPr="009C3574" w:rsidRDefault="00EB4286" w:rsidP="00EB4286">
      <w:pPr>
        <w:autoSpaceDE w:val="0"/>
        <w:autoSpaceDN w:val="0"/>
        <w:adjustRightInd w:val="0"/>
        <w:rPr>
          <w:rFonts w:cs="Tahoma"/>
          <w:color w:val="000000"/>
        </w:rPr>
      </w:pPr>
      <w:r w:rsidRPr="009C3574">
        <w:rPr>
          <w:rFonts w:cs="Tahoma"/>
          <w:color w:val="E36C0A" w:themeColor="accent6" w:themeShade="BF"/>
        </w:rPr>
        <w:t xml:space="preserve">Action 1.11 </w:t>
      </w:r>
      <w:r w:rsidRPr="009C3574">
        <w:rPr>
          <w:rFonts w:cs="Tahoma"/>
          <w:color w:val="000000"/>
        </w:rPr>
        <w:t>Développer et accompagner le transfert des innovations technologiques et organisationnelles en matière de dépistage.</w:t>
      </w:r>
      <w:r w:rsidRPr="009C3574" w:rsidDel="00AB2AE0">
        <w:rPr>
          <w:rFonts w:cs="Tahoma"/>
          <w:color w:val="000000"/>
        </w:rPr>
        <w:t xml:space="preserve"> </w:t>
      </w:r>
    </w:p>
    <w:p w:rsidR="00706B04" w:rsidRDefault="00706B04">
      <w:pPr>
        <w:rPr>
          <w:rFonts w:cs="Tahoma"/>
          <w:color w:val="000000"/>
        </w:rPr>
      </w:pPr>
      <w:r>
        <w:rPr>
          <w:rFonts w:cs="Tahoma"/>
          <w:color w:val="000000"/>
        </w:rPr>
        <w:br w:type="page"/>
      </w:r>
    </w:p>
    <w:p w:rsidR="0028312E" w:rsidRPr="00714410" w:rsidRDefault="0028312E" w:rsidP="00DA42BC">
      <w:pPr>
        <w:pStyle w:val="Titre1"/>
      </w:pPr>
      <w:bookmarkStart w:id="6" w:name="_Toc401231642"/>
      <w:bookmarkStart w:id="7" w:name="_Toc341270865"/>
      <w:bookmarkStart w:id="8" w:name="_Toc403578757"/>
      <w:bookmarkStart w:id="9" w:name="_Toc468797903"/>
      <w:bookmarkStart w:id="10" w:name="_Toc468798595"/>
      <w:bookmarkStart w:id="11" w:name="_Toc468800081"/>
      <w:bookmarkStart w:id="12" w:name="_Toc499804621"/>
      <w:bookmarkEnd w:id="0"/>
      <w:r w:rsidRPr="00714410">
        <w:lastRenderedPageBreak/>
        <w:t>Contexte et objectifs de l’appel à projets</w:t>
      </w:r>
      <w:bookmarkEnd w:id="6"/>
      <w:bookmarkEnd w:id="7"/>
      <w:bookmarkEnd w:id="8"/>
      <w:bookmarkEnd w:id="9"/>
      <w:bookmarkEnd w:id="10"/>
      <w:bookmarkEnd w:id="11"/>
      <w:bookmarkEnd w:id="12"/>
    </w:p>
    <w:p w:rsidR="000161C9" w:rsidRPr="008C296C" w:rsidRDefault="000161C9" w:rsidP="005F7BAD">
      <w:pPr>
        <w:rPr>
          <w:rFonts w:cs="Tahoma"/>
        </w:rPr>
      </w:pPr>
      <w:r w:rsidRPr="008C296C">
        <w:rPr>
          <w:rFonts w:cs="Tahoma"/>
        </w:rPr>
        <w:t xml:space="preserve">L’Institut National du Cancer (INCa) lance un appel à projets compétitif en vue : </w:t>
      </w:r>
    </w:p>
    <w:p w:rsidR="000161C9" w:rsidRPr="008C296C" w:rsidRDefault="000161C9" w:rsidP="00105A80">
      <w:pPr>
        <w:numPr>
          <w:ilvl w:val="0"/>
          <w:numId w:val="3"/>
        </w:numPr>
        <w:rPr>
          <w:rFonts w:cs="Tahoma"/>
        </w:rPr>
      </w:pPr>
      <w:r w:rsidRPr="008C296C">
        <w:rPr>
          <w:rFonts w:cs="Tahoma"/>
        </w:rPr>
        <w:t>d’accompagner les politiques de prévention et de dépistage des cancers en population générale ou auprès de publics ciblés,</w:t>
      </w:r>
    </w:p>
    <w:p w:rsidR="000161C9" w:rsidRPr="008C296C" w:rsidRDefault="000161C9" w:rsidP="00105A80">
      <w:pPr>
        <w:numPr>
          <w:ilvl w:val="0"/>
          <w:numId w:val="3"/>
        </w:numPr>
        <w:rPr>
          <w:rFonts w:cs="Tahoma"/>
        </w:rPr>
      </w:pPr>
      <w:r w:rsidRPr="008C296C">
        <w:rPr>
          <w:rFonts w:cs="Tahoma"/>
        </w:rPr>
        <w:t>de soutenir</w:t>
      </w:r>
      <w:r w:rsidR="00771DA9" w:rsidRPr="008C296C">
        <w:rPr>
          <w:rFonts w:cs="Tahoma"/>
        </w:rPr>
        <w:t xml:space="preserve"> </w:t>
      </w:r>
      <w:r w:rsidRPr="008C296C">
        <w:rPr>
          <w:rFonts w:cs="Tahoma"/>
        </w:rPr>
        <w:t xml:space="preserve">des actions et </w:t>
      </w:r>
      <w:r w:rsidR="00A37A8F" w:rsidRPr="008C296C">
        <w:rPr>
          <w:rFonts w:cs="Tahoma"/>
        </w:rPr>
        <w:t>études</w:t>
      </w:r>
      <w:r w:rsidRPr="008C296C">
        <w:rPr>
          <w:rFonts w:cs="Tahoma"/>
        </w:rPr>
        <w:t xml:space="preserve"> spécifiques en Santé publique visant à l’amélioration de la prévention, du dépistage et de la détection précoce des cancers en population générale ou auprès de publics ciblés.</w:t>
      </w:r>
    </w:p>
    <w:p w:rsidR="000161C9" w:rsidRPr="008C296C" w:rsidRDefault="000161C9" w:rsidP="005F7BAD">
      <w:pPr>
        <w:ind w:left="360"/>
        <w:rPr>
          <w:rFonts w:cs="Tahoma"/>
        </w:rPr>
      </w:pPr>
    </w:p>
    <w:p w:rsidR="000161C9" w:rsidRPr="008C296C" w:rsidRDefault="000161C9" w:rsidP="005F7BAD">
      <w:pPr>
        <w:rPr>
          <w:rFonts w:cs="Tahoma"/>
        </w:rPr>
      </w:pPr>
      <w:r w:rsidRPr="008C296C">
        <w:rPr>
          <w:rFonts w:cs="Tahoma"/>
        </w:rPr>
        <w:t xml:space="preserve">L’objectif est de promouvoir </w:t>
      </w:r>
      <w:r w:rsidR="00087DE4" w:rsidRPr="008C296C">
        <w:rPr>
          <w:rFonts w:cs="Tahoma"/>
        </w:rPr>
        <w:t xml:space="preserve">des projets d’études ou </w:t>
      </w:r>
      <w:r w:rsidR="00771DA9" w:rsidRPr="008C296C">
        <w:rPr>
          <w:rFonts w:cs="Tahoma"/>
        </w:rPr>
        <w:t>la mise en place d’actions diversifiées, reproductibles</w:t>
      </w:r>
      <w:r w:rsidR="00B02035" w:rsidRPr="008C296C">
        <w:rPr>
          <w:rFonts w:cs="Tahoma"/>
        </w:rPr>
        <w:t>,</w:t>
      </w:r>
      <w:r w:rsidR="00771DA9" w:rsidRPr="008C296C">
        <w:rPr>
          <w:rFonts w:cs="Tahoma"/>
        </w:rPr>
        <w:t xml:space="preserve"> </w:t>
      </w:r>
      <w:proofErr w:type="spellStart"/>
      <w:r w:rsidR="00771DA9" w:rsidRPr="008C296C">
        <w:rPr>
          <w:rFonts w:cs="Tahoma"/>
        </w:rPr>
        <w:t>mutualisables</w:t>
      </w:r>
      <w:proofErr w:type="spellEnd"/>
      <w:r w:rsidR="00B02035" w:rsidRPr="008C296C">
        <w:rPr>
          <w:rFonts w:cs="Tahoma"/>
        </w:rPr>
        <w:t xml:space="preserve"> et innovantes,</w:t>
      </w:r>
      <w:r w:rsidR="00771DA9" w:rsidRPr="008C296C">
        <w:rPr>
          <w:rFonts w:cs="Tahoma"/>
        </w:rPr>
        <w:t xml:space="preserve"> </w:t>
      </w:r>
      <w:r w:rsidR="00B02035" w:rsidRPr="008C296C">
        <w:rPr>
          <w:rFonts w:cs="Tahoma"/>
        </w:rPr>
        <w:t xml:space="preserve">le cas échéant </w:t>
      </w:r>
      <w:r w:rsidR="00771DA9" w:rsidRPr="008C296C">
        <w:rPr>
          <w:rFonts w:cs="Tahoma"/>
        </w:rPr>
        <w:t xml:space="preserve">à titre expérimental, et leur </w:t>
      </w:r>
      <w:r w:rsidR="00B02035" w:rsidRPr="008C296C">
        <w:rPr>
          <w:rFonts w:cs="Tahoma"/>
        </w:rPr>
        <w:t xml:space="preserve">évaluation. </w:t>
      </w:r>
    </w:p>
    <w:p w:rsidR="0028312E" w:rsidRPr="008C296C" w:rsidRDefault="0028312E" w:rsidP="00DA42BC">
      <w:pPr>
        <w:pStyle w:val="Titre1"/>
      </w:pPr>
      <w:bookmarkStart w:id="13" w:name="_Toc341270866"/>
      <w:bookmarkStart w:id="14" w:name="_Toc401231643"/>
      <w:bookmarkStart w:id="15" w:name="_Toc403578758"/>
      <w:bookmarkStart w:id="16" w:name="_Toc468797904"/>
      <w:bookmarkStart w:id="17" w:name="_Toc468798596"/>
      <w:bookmarkStart w:id="18" w:name="_Toc468800082"/>
      <w:bookmarkStart w:id="19" w:name="_Toc499804622"/>
      <w:r w:rsidRPr="008C296C">
        <w:t>Champs de l’appel à projets</w:t>
      </w:r>
      <w:bookmarkEnd w:id="13"/>
      <w:bookmarkEnd w:id="14"/>
      <w:bookmarkEnd w:id="15"/>
      <w:bookmarkEnd w:id="16"/>
      <w:bookmarkEnd w:id="17"/>
      <w:bookmarkEnd w:id="18"/>
      <w:bookmarkEnd w:id="19"/>
    </w:p>
    <w:p w:rsidR="0028312E" w:rsidRPr="008C296C" w:rsidRDefault="009B083A" w:rsidP="005F7BAD">
      <w:pPr>
        <w:spacing w:after="240" w:line="240" w:lineRule="auto"/>
        <w:rPr>
          <w:rFonts w:cs="Tahoma"/>
        </w:rPr>
      </w:pPr>
      <w:r w:rsidRPr="008C296C">
        <w:rPr>
          <w:rFonts w:cs="Tahoma"/>
        </w:rPr>
        <w:t xml:space="preserve">Cet appel concerne les 2 domaines </w:t>
      </w:r>
      <w:r w:rsidR="0021295F" w:rsidRPr="008C296C">
        <w:rPr>
          <w:rFonts w:cs="Tahoma"/>
        </w:rPr>
        <w:t xml:space="preserve">de la prévention et </w:t>
      </w:r>
      <w:r w:rsidRPr="008C296C">
        <w:rPr>
          <w:rFonts w:cs="Tahoma"/>
        </w:rPr>
        <w:t xml:space="preserve">du dépistage et vise </w:t>
      </w:r>
      <w:r w:rsidR="0021295F" w:rsidRPr="008C296C">
        <w:rPr>
          <w:rFonts w:cs="Tahoma"/>
        </w:rPr>
        <w:t xml:space="preserve">les </w:t>
      </w:r>
      <w:r w:rsidR="0028312E" w:rsidRPr="008C296C">
        <w:rPr>
          <w:rFonts w:cs="Tahoma"/>
        </w:rPr>
        <w:t xml:space="preserve">axes prioritaires suivants : </w:t>
      </w:r>
    </w:p>
    <w:p w:rsidR="00CF3E44" w:rsidRDefault="0041243E" w:rsidP="004B6EB6">
      <w:pPr>
        <w:pStyle w:val="Titre2"/>
      </w:pPr>
      <w:bookmarkStart w:id="20" w:name="_Toc499804623"/>
      <w:r>
        <w:t>Prévention</w:t>
      </w:r>
      <w:bookmarkEnd w:id="20"/>
    </w:p>
    <w:p w:rsidR="00714410" w:rsidRPr="00714410" w:rsidRDefault="00714410" w:rsidP="001E7B36">
      <w:pPr>
        <w:pStyle w:val="NormalWeb"/>
        <w:spacing w:before="0" w:beforeAutospacing="0" w:after="0" w:afterAutospacing="0"/>
        <w:rPr>
          <w:rFonts w:asciiTheme="minorHAnsi" w:hAnsiTheme="minorHAnsi"/>
          <w:b/>
        </w:rPr>
      </w:pPr>
      <w:r w:rsidRPr="00714410">
        <w:rPr>
          <w:rFonts w:asciiTheme="minorHAnsi" w:hAnsiTheme="minorHAnsi"/>
          <w:b/>
        </w:rPr>
        <w:t>Renforcer la prévention sur les risques liés à la consommation d’alcool</w:t>
      </w:r>
    </w:p>
    <w:p w:rsidR="001E7B36" w:rsidRPr="00C6764C" w:rsidRDefault="001E7B36" w:rsidP="005763F4">
      <w:pPr>
        <w:pStyle w:val="NormalWeb"/>
        <w:spacing w:before="0" w:beforeAutospacing="0" w:after="120" w:afterAutospacing="0"/>
        <w:rPr>
          <w:rFonts w:asciiTheme="minorHAnsi" w:hAnsiTheme="minorHAnsi"/>
        </w:rPr>
      </w:pPr>
      <w:r w:rsidRPr="00C6764C">
        <w:rPr>
          <w:rFonts w:asciiTheme="minorHAnsi" w:hAnsiTheme="minorHAnsi"/>
        </w:rPr>
        <w:t xml:space="preserve">L’alcool est le second facteur de risque évitable de cancers après le tabac en </w:t>
      </w:r>
      <w:r>
        <w:rPr>
          <w:rFonts w:asciiTheme="minorHAnsi" w:hAnsiTheme="minorHAnsi"/>
        </w:rPr>
        <w:t xml:space="preserve">France, responsable de près de </w:t>
      </w:r>
      <w:r w:rsidRPr="00C6764C">
        <w:rPr>
          <w:rFonts w:asciiTheme="minorHAnsi" w:hAnsiTheme="minorHAnsi"/>
        </w:rPr>
        <w:t>8% des cancer</w:t>
      </w:r>
      <w:r>
        <w:rPr>
          <w:rFonts w:asciiTheme="minorHAnsi" w:hAnsiTheme="minorHAnsi"/>
        </w:rPr>
        <w:t>s</w:t>
      </w:r>
      <w:r w:rsidRPr="00C6764C">
        <w:rPr>
          <w:rFonts w:asciiTheme="minorHAnsi" w:hAnsiTheme="minorHAnsi"/>
        </w:rPr>
        <w:t xml:space="preserve">, soit 28 000 nouveaux cas de cancer par an. </w:t>
      </w:r>
      <w:r>
        <w:rPr>
          <w:rFonts w:asciiTheme="minorHAnsi" w:hAnsiTheme="minorHAnsi"/>
        </w:rPr>
        <w:t>L</w:t>
      </w:r>
      <w:r w:rsidRPr="002F4CC2">
        <w:rPr>
          <w:rFonts w:asciiTheme="minorHAnsi" w:hAnsiTheme="minorHAnsi"/>
        </w:rPr>
        <w:t>’</w:t>
      </w:r>
      <w:r w:rsidRPr="00C6764C">
        <w:rPr>
          <w:rFonts w:asciiTheme="minorHAnsi" w:hAnsiTheme="minorHAnsi"/>
        </w:rPr>
        <w:t>éthanol</w:t>
      </w:r>
      <w:r w:rsidRPr="002F4CC2">
        <w:rPr>
          <w:rFonts w:asciiTheme="minorHAnsi" w:hAnsiTheme="minorHAnsi"/>
        </w:rPr>
        <w:t xml:space="preserve"> contenu dans les boissons alcoolisées est </w:t>
      </w:r>
      <w:r w:rsidRPr="00C6764C">
        <w:rPr>
          <w:rFonts w:asciiTheme="minorHAnsi" w:hAnsiTheme="minorHAnsi"/>
        </w:rPr>
        <w:t>transformé dans l’organisme en composés favorisant le développement de cancers</w:t>
      </w:r>
      <w:r w:rsidRPr="002F4CC2">
        <w:rPr>
          <w:rFonts w:asciiTheme="minorHAnsi" w:hAnsiTheme="minorHAnsi"/>
        </w:rPr>
        <w:t>.</w:t>
      </w:r>
      <w:r>
        <w:rPr>
          <w:rFonts w:asciiTheme="minorHAnsi" w:hAnsiTheme="minorHAnsi"/>
        </w:rPr>
        <w:t xml:space="preserve"> Cet effet est pourtant souvent nié ou méconnu.</w:t>
      </w:r>
      <w:r w:rsidRPr="006F3679">
        <w:rPr>
          <w:rStyle w:val="Appelnotedebasdep"/>
          <w:rFonts w:asciiTheme="minorHAnsi" w:hAnsiTheme="minorHAnsi"/>
        </w:rPr>
        <w:t xml:space="preserve"> </w:t>
      </w:r>
      <w:r>
        <w:rPr>
          <w:rFonts w:asciiTheme="minorHAnsi" w:hAnsiTheme="minorHAnsi"/>
        </w:rPr>
        <w:t>L’</w:t>
      </w:r>
      <w:r w:rsidRPr="002F4CC2">
        <w:rPr>
          <w:rFonts w:asciiTheme="minorHAnsi" w:hAnsiTheme="minorHAnsi"/>
        </w:rPr>
        <w:t xml:space="preserve">augmentation du risque de cancer </w:t>
      </w:r>
      <w:r>
        <w:rPr>
          <w:rFonts w:asciiTheme="minorHAnsi" w:hAnsiTheme="minorHAnsi"/>
        </w:rPr>
        <w:t xml:space="preserve">apparait </w:t>
      </w:r>
      <w:r w:rsidRPr="002F4CC2">
        <w:rPr>
          <w:rFonts w:asciiTheme="minorHAnsi" w:hAnsiTheme="minorHAnsi"/>
        </w:rPr>
        <w:t>dès la consommati</w:t>
      </w:r>
      <w:r>
        <w:rPr>
          <w:rFonts w:asciiTheme="minorHAnsi" w:hAnsiTheme="minorHAnsi"/>
        </w:rPr>
        <w:t>on moyenne d’un verre par jour,</w:t>
      </w:r>
      <w:r w:rsidRPr="002F4CC2">
        <w:rPr>
          <w:rFonts w:asciiTheme="minorHAnsi" w:hAnsiTheme="minorHAnsi"/>
        </w:rPr>
        <w:t xml:space="preserve"> </w:t>
      </w:r>
      <w:r>
        <w:rPr>
          <w:rFonts w:asciiTheme="minorHAnsi" w:hAnsiTheme="minorHAnsi"/>
        </w:rPr>
        <w:t>avec un effet qui augmente avec</w:t>
      </w:r>
      <w:r w:rsidRPr="002F4CC2">
        <w:rPr>
          <w:rFonts w:asciiTheme="minorHAnsi" w:hAnsiTheme="minorHAnsi"/>
        </w:rPr>
        <w:t xml:space="preserve"> la quantité d’alcool consommée. </w:t>
      </w:r>
      <w:r>
        <w:rPr>
          <w:rFonts w:asciiTheme="minorHAnsi" w:hAnsiTheme="minorHAnsi"/>
        </w:rPr>
        <w:t>L</w:t>
      </w:r>
      <w:r w:rsidRPr="00C6764C">
        <w:rPr>
          <w:rFonts w:asciiTheme="minorHAnsi" w:hAnsiTheme="minorHAnsi"/>
        </w:rPr>
        <w:t>e cancer du sein est le plus fréquent des cancers attribuable</w:t>
      </w:r>
      <w:r>
        <w:rPr>
          <w:rFonts w:asciiTheme="minorHAnsi" w:hAnsiTheme="minorHAnsi"/>
        </w:rPr>
        <w:t>s</w:t>
      </w:r>
      <w:r w:rsidRPr="00C6764C">
        <w:rPr>
          <w:rFonts w:asciiTheme="minorHAnsi" w:hAnsiTheme="minorHAnsi"/>
        </w:rPr>
        <w:t xml:space="preserve"> à l’alcool </w:t>
      </w:r>
      <w:r>
        <w:rPr>
          <w:rFonts w:asciiTheme="minorHAnsi" w:hAnsiTheme="minorHAnsi"/>
        </w:rPr>
        <w:t>(</w:t>
      </w:r>
      <w:r w:rsidRPr="00C6764C">
        <w:rPr>
          <w:rFonts w:asciiTheme="minorHAnsi" w:hAnsiTheme="minorHAnsi"/>
        </w:rPr>
        <w:t>8 081 cas</w:t>
      </w:r>
      <w:r>
        <w:rPr>
          <w:rFonts w:asciiTheme="minorHAnsi" w:hAnsiTheme="minorHAnsi"/>
        </w:rPr>
        <w:t>)</w:t>
      </w:r>
      <w:r w:rsidRPr="00C6764C">
        <w:rPr>
          <w:rFonts w:asciiTheme="minorHAnsi" w:hAnsiTheme="minorHAnsi"/>
        </w:rPr>
        <w:t xml:space="preserve"> suivi d</w:t>
      </w:r>
      <w:r>
        <w:rPr>
          <w:rFonts w:asciiTheme="minorHAnsi" w:hAnsiTheme="minorHAnsi"/>
        </w:rPr>
        <w:t>es</w:t>
      </w:r>
      <w:r w:rsidRPr="00C6764C">
        <w:rPr>
          <w:rFonts w:asciiTheme="minorHAnsi" w:hAnsiTheme="minorHAnsi"/>
        </w:rPr>
        <w:t xml:space="preserve"> cancer</w:t>
      </w:r>
      <w:r>
        <w:rPr>
          <w:rFonts w:asciiTheme="minorHAnsi" w:hAnsiTheme="minorHAnsi"/>
        </w:rPr>
        <w:t>s</w:t>
      </w:r>
      <w:r w:rsidRPr="00C6764C">
        <w:rPr>
          <w:rFonts w:asciiTheme="minorHAnsi" w:hAnsiTheme="minorHAnsi"/>
        </w:rPr>
        <w:t xml:space="preserve"> colorecta</w:t>
      </w:r>
      <w:r>
        <w:rPr>
          <w:rFonts w:asciiTheme="minorHAnsi" w:hAnsiTheme="minorHAnsi"/>
        </w:rPr>
        <w:t>ux</w:t>
      </w:r>
      <w:r w:rsidRPr="00C6764C">
        <w:rPr>
          <w:rFonts w:asciiTheme="minorHAnsi" w:hAnsiTheme="minorHAnsi"/>
        </w:rPr>
        <w:t xml:space="preserve"> (6 654 cas), de la cavité buccale et pharynx (</w:t>
      </w:r>
      <w:r>
        <w:rPr>
          <w:rFonts w:asciiTheme="minorHAnsi" w:hAnsiTheme="minorHAnsi"/>
        </w:rPr>
        <w:t>5 675 cas), du foie (4 355 cas),</w:t>
      </w:r>
      <w:r w:rsidRPr="00C6764C">
        <w:rPr>
          <w:rFonts w:asciiTheme="minorHAnsi" w:hAnsiTheme="minorHAnsi"/>
        </w:rPr>
        <w:t xml:space="preserve"> de l’œsophage (1 807 cas) et du larynx (1 284 cas)</w:t>
      </w:r>
      <w:r w:rsidRPr="006F3679">
        <w:rPr>
          <w:rStyle w:val="Appelnotedebasdep"/>
          <w:rFonts w:asciiTheme="minorHAnsi" w:hAnsiTheme="minorHAnsi"/>
        </w:rPr>
        <w:t xml:space="preserve"> </w:t>
      </w:r>
      <w:r>
        <w:rPr>
          <w:rStyle w:val="Appelnotedebasdep"/>
          <w:rFonts w:asciiTheme="minorHAnsi" w:hAnsiTheme="minorHAnsi"/>
        </w:rPr>
        <w:footnoteReference w:id="1"/>
      </w:r>
      <w:r w:rsidRPr="00C6764C">
        <w:rPr>
          <w:rFonts w:asciiTheme="minorHAnsi" w:hAnsiTheme="minorHAnsi"/>
        </w:rPr>
        <w:t>.</w:t>
      </w:r>
    </w:p>
    <w:p w:rsidR="001E7B36" w:rsidRPr="00580AC4" w:rsidRDefault="001E7B36" w:rsidP="005763F4">
      <w:pPr>
        <w:spacing w:after="120"/>
      </w:pPr>
      <w:r w:rsidRPr="00580AC4">
        <w:t>La France fait partie des pays les plus consommateurs d’alcool au monde, se situant au sixième rang parmi les 34 pays de l’OCDE</w:t>
      </w:r>
      <w:r w:rsidRPr="00C64CFC">
        <w:rPr>
          <w:vertAlign w:val="superscript"/>
        </w:rPr>
        <w:footnoteReference w:id="2"/>
      </w:r>
      <w:r w:rsidRPr="00580AC4">
        <w:t xml:space="preserve"> (chez les 15 ans et plus). La tendance à la baisse de la consommation d’alcool en France, </w:t>
      </w:r>
      <w:r w:rsidRPr="00580AC4">
        <w:rPr>
          <w:rFonts w:asciiTheme="minorHAnsi" w:hAnsiTheme="minorHAnsi"/>
          <w:color w:val="000000"/>
        </w:rPr>
        <w:t>observée depuis 1960, est moins forte depuis les années 1990 et semble se stabiliser ces dernières années. La consommation moyenne</w:t>
      </w:r>
      <w:r w:rsidRPr="00580AC4">
        <w:t xml:space="preserve"> des français recouvre de très grandes diversités de comportements, les hommes buvant par exemple des quantités d’alcool nettement plus importantes que les femmes. Les modes de consommation changent avec une diminution de la part de la population consommant quotidiennement et une hausse des alcoolisations ponctuelles import</w:t>
      </w:r>
      <w:r w:rsidR="0041243E" w:rsidRPr="00580AC4">
        <w:t>antes et des épisodes d’ivresse</w:t>
      </w:r>
      <w:r w:rsidRPr="00580AC4">
        <w:t>.</w:t>
      </w:r>
    </w:p>
    <w:p w:rsidR="001E7B36" w:rsidRPr="00580AC4" w:rsidRDefault="001E7B36" w:rsidP="005763F4">
      <w:pPr>
        <w:spacing w:after="120"/>
      </w:pPr>
      <w:r w:rsidRPr="00580AC4">
        <w:t>En réponse à une saisine de la Mission interministérielle de lutte contre les drogues et les conduites addictives et de la Direction générale de la santé relati</w:t>
      </w:r>
      <w:r w:rsidR="00EA56B7">
        <w:t>ve</w:t>
      </w:r>
      <w:r w:rsidRPr="00580AC4">
        <w:t xml:space="preserve"> à l’évolution du discours public en matière de consommation d’alcool en France, Santé </w:t>
      </w:r>
      <w:r w:rsidR="00EA56B7">
        <w:t>p</w:t>
      </w:r>
      <w:r w:rsidRPr="00580AC4">
        <w:t>ublique France et l’Institut national du cancer ont réuni un comité d’experts dont l’avis a été publié le 4 mai 2017</w:t>
      </w:r>
      <w:r w:rsidRPr="00737F3A">
        <w:rPr>
          <w:vertAlign w:val="superscript"/>
        </w:rPr>
        <w:footnoteReference w:id="3"/>
      </w:r>
      <w:r w:rsidRPr="00580AC4">
        <w:t xml:space="preserve">. Le groupe d’experts propose aux pouvoirs publics de nouveaux repères de consommation et recommande que la population soit informée plus clairement sur le fait que les risques liés à la consommation d’alcool pour la santé au cours de la vie </w:t>
      </w:r>
      <w:r w:rsidRPr="00580AC4">
        <w:lastRenderedPageBreak/>
        <w:t>augmentent avec la quantité consommée. Les experts soulignent également l’importance d’éclairer la population sur les équivalents du verre standard. Des actions d’éducation, de communication, de marketing social et de soutien des professionnels de santé apparaissent ainsi nécessaires pour renforcer le discours public sur l’alcool.</w:t>
      </w:r>
    </w:p>
    <w:p w:rsidR="001E7B36" w:rsidRPr="00580AC4" w:rsidRDefault="001E7B36" w:rsidP="005763F4">
      <w:pPr>
        <w:spacing w:after="120"/>
        <w:rPr>
          <w:rFonts w:cs="Tahoma"/>
        </w:rPr>
      </w:pPr>
      <w:r w:rsidRPr="00580AC4">
        <w:rPr>
          <w:rFonts w:cs="Tahoma"/>
        </w:rPr>
        <w:t>Dans ce contexte, l’Institut national du cancer souhaite par le biais du financement de projets dédiés renforcer les actions de prévention efficaces visant à réduire les consommations d’alcool en France et diminuer les inégalités à cet égard, qu’elles soient sociales, culturelles, économiques ou territoriales.</w:t>
      </w:r>
    </w:p>
    <w:p w:rsidR="001E7B36" w:rsidRPr="00580AC4" w:rsidRDefault="001E7B36" w:rsidP="007C65BE">
      <w:pPr>
        <w:rPr>
          <w:rFonts w:cs="Tahoma"/>
        </w:rPr>
      </w:pPr>
      <w:r w:rsidRPr="00580AC4">
        <w:rPr>
          <w:rFonts w:cs="Tahoma"/>
        </w:rPr>
        <w:t>Les projets attendus devront s’inscrire dans l’un des axes suivants :</w:t>
      </w:r>
    </w:p>
    <w:p w:rsidR="001E7B36" w:rsidRPr="004D1C58" w:rsidRDefault="0041243E" w:rsidP="004D1C58">
      <w:pPr>
        <w:autoSpaceDE w:val="0"/>
        <w:autoSpaceDN w:val="0"/>
        <w:adjustRightInd w:val="0"/>
        <w:spacing w:before="120" w:line="240" w:lineRule="auto"/>
        <w:rPr>
          <w:rFonts w:cs="Arial"/>
          <w:b/>
        </w:rPr>
      </w:pPr>
      <w:r w:rsidRPr="004D1C58">
        <w:rPr>
          <w:rFonts w:cs="Arial"/>
          <w:b/>
        </w:rPr>
        <w:t xml:space="preserve">Axe 1 - </w:t>
      </w:r>
      <w:r w:rsidR="001E7B36" w:rsidRPr="004D1C58">
        <w:rPr>
          <w:rFonts w:cs="Arial"/>
          <w:b/>
        </w:rPr>
        <w:t xml:space="preserve">Promouvoir des actions de marketing social sur l’alcool visant au changement de comportement des consommateurs  </w:t>
      </w:r>
    </w:p>
    <w:p w:rsidR="005763F4" w:rsidRDefault="001E7B36" w:rsidP="005763F4">
      <w:pPr>
        <w:spacing w:before="120"/>
      </w:pPr>
      <w:r w:rsidRPr="002F4CC2">
        <w:t xml:space="preserve">Les synthèses réalisées par Gordon </w:t>
      </w:r>
      <w:r w:rsidRPr="002F4CC2">
        <w:rPr>
          <w:i/>
          <w:iCs/>
        </w:rPr>
        <w:t>et al.</w:t>
      </w:r>
      <w:r w:rsidRPr="002F4CC2">
        <w:rPr>
          <w:rStyle w:val="Appelnotedebasdep"/>
          <w:rFonts w:cs="Goudy"/>
          <w:color w:val="000000"/>
        </w:rPr>
        <w:footnoteReference w:id="4"/>
      </w:r>
      <w:r w:rsidRPr="002F4CC2">
        <w:rPr>
          <w:rStyle w:val="A7"/>
        </w:rPr>
        <w:t xml:space="preserve"> </w:t>
      </w:r>
      <w:proofErr w:type="gramStart"/>
      <w:r w:rsidRPr="002F4CC2">
        <w:t>puis</w:t>
      </w:r>
      <w:proofErr w:type="gramEnd"/>
      <w:r w:rsidRPr="002F4CC2">
        <w:t xml:space="preserve"> </w:t>
      </w:r>
      <w:proofErr w:type="spellStart"/>
      <w:r w:rsidRPr="006D4782">
        <w:rPr>
          <w:i/>
        </w:rPr>
        <w:t>Stead</w:t>
      </w:r>
      <w:proofErr w:type="spellEnd"/>
      <w:r w:rsidRPr="006D4782">
        <w:rPr>
          <w:i/>
        </w:rPr>
        <w:t xml:space="preserve"> </w:t>
      </w:r>
      <w:r w:rsidRPr="006D4782">
        <w:rPr>
          <w:i/>
          <w:iCs/>
        </w:rPr>
        <w:t>et al.</w:t>
      </w:r>
      <w:r w:rsidRPr="006D4782">
        <w:rPr>
          <w:rStyle w:val="Appelnotedebasdep"/>
          <w:rFonts w:cs="Goudy"/>
          <w:i/>
          <w:iCs/>
          <w:color w:val="000000"/>
        </w:rPr>
        <w:footnoteReference w:id="5"/>
      </w:r>
      <w:proofErr w:type="gramStart"/>
      <w:r w:rsidRPr="002F4CC2">
        <w:t>mettent</w:t>
      </w:r>
      <w:proofErr w:type="gramEnd"/>
      <w:r w:rsidRPr="002F4CC2">
        <w:t xml:space="preserve"> en lumière qu’une majorité des interventions élaborées selon les principes du marketing social</w:t>
      </w:r>
      <w:r>
        <w:t xml:space="preserve"> </w:t>
      </w:r>
      <w:r w:rsidRPr="002F4CC2">
        <w:t>sont efficaces pour faire évoluer les croyances, les atti</w:t>
      </w:r>
      <w:r w:rsidRPr="002F4CC2">
        <w:softHyphen/>
        <w:t>tudes et les comportements des individus dans un sens favorable à leur santé. Les pro</w:t>
      </w:r>
      <w:r w:rsidRPr="002F4CC2">
        <w:softHyphen/>
        <w:t>grammes analysés se déroulaient dans des contextes et des milieux variés (lutte contre le tabagisme, l’alcoolisme, les drogues illicites, promotion de l’activité physique et nutrition ; à l’école, en entreprise, etc.)</w:t>
      </w:r>
      <w:r>
        <w:t xml:space="preserve"> </w:t>
      </w:r>
      <w:r w:rsidRPr="002F4CC2">
        <w:t xml:space="preserve">et sur des cibles différentes (population défavorisée, adolescents, professionnels de santé, grand public, etc.). </w:t>
      </w:r>
    </w:p>
    <w:p w:rsidR="001E7B36" w:rsidRPr="00C70899" w:rsidRDefault="001E7B36" w:rsidP="005763F4">
      <w:pPr>
        <w:spacing w:before="120"/>
      </w:pPr>
      <w:r w:rsidRPr="002F4CC2">
        <w:t xml:space="preserve">Ces conclusions ont conduit des acteurs de la santé publique à se prononcer en faveur du </w:t>
      </w:r>
      <w:r>
        <w:t xml:space="preserve">développement de stratégies d’actions basées sur des connaissances acquises en </w:t>
      </w:r>
      <w:r w:rsidRPr="002F4CC2">
        <w:t>marketing social (</w:t>
      </w:r>
      <w:proofErr w:type="spellStart"/>
      <w:r w:rsidRPr="002F4CC2">
        <w:t>Gallopel</w:t>
      </w:r>
      <w:proofErr w:type="spellEnd"/>
      <w:r w:rsidRPr="002F4CC2">
        <w:t>-Morvan 2014)</w:t>
      </w:r>
      <w:r w:rsidRPr="002F4CC2">
        <w:rPr>
          <w:rStyle w:val="Appelnotedebasdep"/>
          <w:rFonts w:cs="Goudy"/>
          <w:color w:val="000000"/>
        </w:rPr>
        <w:footnoteReference w:id="6"/>
      </w:r>
      <w:r>
        <w:t xml:space="preserve">. A l’instar </w:t>
      </w:r>
      <w:r w:rsidRPr="004652EE">
        <w:t>du moi(s) sans tabac lancé</w:t>
      </w:r>
      <w:r>
        <w:t xml:space="preserve"> en France depuis 2016, l</w:t>
      </w:r>
      <w:r w:rsidRPr="00C70899">
        <w:t>a fondation contr</w:t>
      </w:r>
      <w:r>
        <w:t>e le cancer en Belgique a lancé</w:t>
      </w:r>
      <w:r w:rsidRPr="00C70899">
        <w:t> </w:t>
      </w:r>
      <w:r w:rsidRPr="00C70899">
        <w:rPr>
          <w:rFonts w:cs="Arial"/>
        </w:rPr>
        <w:t>la première « </w:t>
      </w:r>
      <w:r w:rsidRPr="006F3679">
        <w:rPr>
          <w:rFonts w:cs="Arial"/>
          <w:i/>
        </w:rPr>
        <w:t>Tournée Minérale</w:t>
      </w:r>
      <w:r w:rsidRPr="00C70899">
        <w:rPr>
          <w:rFonts w:cs="Arial"/>
        </w:rPr>
        <w:t> » en Belgique</w:t>
      </w:r>
      <w:r>
        <w:rPr>
          <w:rStyle w:val="Appelnotedebasdep"/>
          <w:rFonts w:cs="Arial"/>
        </w:rPr>
        <w:footnoteReference w:id="7"/>
      </w:r>
      <w:r w:rsidRPr="00C70899">
        <w:rPr>
          <w:rFonts w:cs="Arial"/>
        </w:rPr>
        <w:t xml:space="preserve">. Cette action d’envergure vise à encourager chacun à se passer d’alcool durant un mois. Cela </w:t>
      </w:r>
      <w:r w:rsidR="0041243E">
        <w:rPr>
          <w:rFonts w:cs="Arial"/>
        </w:rPr>
        <w:t>vise également à</w:t>
      </w:r>
      <w:r w:rsidRPr="00C70899">
        <w:rPr>
          <w:rFonts w:cs="Arial"/>
        </w:rPr>
        <w:t xml:space="preserve"> s’interroger sur sa consommation d’alcool et prendre conscience qu’elle peut être automatique et routinière</w:t>
      </w:r>
      <w:r>
        <w:rPr>
          <w:rFonts w:cs="Arial"/>
        </w:rPr>
        <w:t>.</w:t>
      </w:r>
    </w:p>
    <w:p w:rsidR="001E7B36" w:rsidRPr="005763F4" w:rsidRDefault="005763F4" w:rsidP="005763F4">
      <w:pPr>
        <w:spacing w:before="120"/>
        <w:rPr>
          <w:rFonts w:cs="Arial"/>
        </w:rPr>
      </w:pPr>
      <w:r w:rsidRPr="005763F4">
        <w:rPr>
          <w:rFonts w:cs="Arial"/>
        </w:rPr>
        <w:t>Les projets soumis devront proposer d</w:t>
      </w:r>
      <w:r w:rsidR="001E7B36" w:rsidRPr="005763F4">
        <w:rPr>
          <w:rFonts w:cs="Arial"/>
        </w:rPr>
        <w:t>es initiatives innovantes d’actions de marketing social sur l’alcool en population générale ou auprès de publics spécifiques (consommateurs excessifs ou de populations à risque</w:t>
      </w:r>
      <w:r w:rsidRPr="005763F4">
        <w:rPr>
          <w:rFonts w:cs="Arial"/>
        </w:rPr>
        <w:t>)</w:t>
      </w:r>
      <w:r w:rsidR="001E7B36" w:rsidRPr="005763F4">
        <w:rPr>
          <w:rFonts w:cs="Arial"/>
        </w:rPr>
        <w:t xml:space="preserve">. </w:t>
      </w:r>
    </w:p>
    <w:p w:rsidR="001E7B36" w:rsidRPr="006D4782" w:rsidRDefault="0041243E" w:rsidP="004D1C58">
      <w:pPr>
        <w:autoSpaceDE w:val="0"/>
        <w:autoSpaceDN w:val="0"/>
        <w:adjustRightInd w:val="0"/>
        <w:spacing w:before="120" w:line="240" w:lineRule="auto"/>
        <w:rPr>
          <w:rFonts w:cs="Arial"/>
          <w:b/>
          <w:u w:val="single"/>
        </w:rPr>
      </w:pPr>
      <w:r>
        <w:rPr>
          <w:rFonts w:cs="Arial"/>
          <w:b/>
        </w:rPr>
        <w:t xml:space="preserve">Axe 2 - </w:t>
      </w:r>
      <w:r w:rsidR="001E7B36" w:rsidRPr="0041243E">
        <w:rPr>
          <w:rFonts w:cs="Arial"/>
          <w:b/>
        </w:rPr>
        <w:t>Analyser l’impact des évolutions réglementaires récentes en matière de promotion de l’alcool </w:t>
      </w:r>
    </w:p>
    <w:p w:rsidR="001E7B36" w:rsidRDefault="001E7B36" w:rsidP="005763F4">
      <w:pPr>
        <w:spacing w:before="120"/>
      </w:pPr>
      <w:r w:rsidRPr="005A52DB">
        <w:t>Il est reconnu que la limitation de la publicité est</w:t>
      </w:r>
      <w:r>
        <w:t>,</w:t>
      </w:r>
      <w:r w:rsidRPr="005A52DB">
        <w:t xml:space="preserve"> vis-à-vis des jeunes en particulier</w:t>
      </w:r>
      <w:r>
        <w:t>,</w:t>
      </w:r>
      <w:r w:rsidRPr="005A52DB">
        <w:t xml:space="preserve"> un outil efficace pour réduire la consommation</w:t>
      </w:r>
      <w:r>
        <w:t xml:space="preserve">. </w:t>
      </w:r>
      <w:r w:rsidRPr="005A52DB">
        <w:t>Renforcer la visibilité d’un produit, c’est encourager ou faciliter sa consommation</w:t>
      </w:r>
      <w:r>
        <w:t>. U</w:t>
      </w:r>
      <w:r w:rsidRPr="005A52DB">
        <w:t>ne</w:t>
      </w:r>
      <w:r>
        <w:t xml:space="preserve"> </w:t>
      </w:r>
      <w:r w:rsidRPr="005A52DB">
        <w:t xml:space="preserve">augmentation de 1 % des investissements dans les publicités pour </w:t>
      </w:r>
      <w:r>
        <w:t xml:space="preserve">l’alcool représente 0,15 % d’alcool </w:t>
      </w:r>
      <w:r w:rsidRPr="005A52DB">
        <w:t>consommé en plus</w:t>
      </w:r>
      <w:r w:rsidRPr="005763F4">
        <w:rPr>
          <w:vertAlign w:val="superscript"/>
        </w:rPr>
        <w:footnoteReference w:id="8"/>
      </w:r>
      <w:r w:rsidRPr="005A52DB">
        <w:t>. Le lien entre l’exposition à la publicité et l’</w:t>
      </w:r>
      <w:r>
        <w:t xml:space="preserve">augmentation de la consommation </w:t>
      </w:r>
      <w:r w:rsidRPr="005A52DB">
        <w:t>d’alcool, notamment chez les jeunes, a été démontré</w:t>
      </w:r>
      <w:r w:rsidRPr="005763F4">
        <w:rPr>
          <w:vertAlign w:val="superscript"/>
        </w:rPr>
        <w:footnoteReference w:id="9"/>
      </w:r>
      <w:r>
        <w:t>.</w:t>
      </w:r>
      <w:r w:rsidRPr="005A52DB">
        <w:t xml:space="preserve"> </w:t>
      </w:r>
      <w:r>
        <w:t xml:space="preserve">La loi Évin </w:t>
      </w:r>
      <w:r w:rsidRPr="00D8073C">
        <w:t xml:space="preserve">a permis de définir </w:t>
      </w:r>
      <w:r>
        <w:t xml:space="preserve">dès 1991 </w:t>
      </w:r>
      <w:r w:rsidRPr="00D8073C">
        <w:t>un cadre réglementaire sur la publicité</w:t>
      </w:r>
      <w:r>
        <w:t xml:space="preserve"> </w:t>
      </w:r>
      <w:r w:rsidRPr="00D8073C">
        <w:t xml:space="preserve">directe et indirecte en faveur de boissons alcoolisées supérieures à 1,2°. L’objectif était d’interdire les supports publicitaires qui s’imposent à tous </w:t>
      </w:r>
      <w:r w:rsidRPr="00D8073C">
        <w:lastRenderedPageBreak/>
        <w:t>et ne relèvent pas d’un choix volontaire (télévision, cinéma, affichage principalement)</w:t>
      </w:r>
      <w:r>
        <w:t xml:space="preserve"> en</w:t>
      </w:r>
      <w:r w:rsidRPr="00D8073C">
        <w:t xml:space="preserve"> </w:t>
      </w:r>
      <w:r>
        <w:t>protégeant tout particulièrement</w:t>
      </w:r>
      <w:r w:rsidRPr="00D8073C">
        <w:t xml:space="preserve"> les </w:t>
      </w:r>
      <w:r>
        <w:t xml:space="preserve">publics les plus </w:t>
      </w:r>
      <w:r w:rsidRPr="00D8073C">
        <w:t>jeunes</w:t>
      </w:r>
      <w:r>
        <w:t xml:space="preserve">. Cette loi a été sujette à évolutions et assouplissements en 1994, 2009 (loi HPST) puis 2016 (loi de santé). </w:t>
      </w:r>
      <w:r w:rsidRPr="005A52DB">
        <w:t>Comme le rappelle la Cour des comptes dans son</w:t>
      </w:r>
      <w:r>
        <w:t xml:space="preserve"> rapport publié en juin 2016</w:t>
      </w:r>
      <w:r w:rsidRPr="005763F4">
        <w:footnoteReference w:id="10"/>
      </w:r>
      <w:r w:rsidRPr="005A52DB">
        <w:t xml:space="preserve"> sur les politiques de lutte contre les consommations nocives d’alcool en France, l’</w:t>
      </w:r>
      <w:r>
        <w:t>assouplissement</w:t>
      </w:r>
      <w:r w:rsidRPr="005A52DB">
        <w:t xml:space="preserve"> de </w:t>
      </w:r>
      <w:r>
        <w:t>2016</w:t>
      </w:r>
      <w:r w:rsidRPr="005A52DB">
        <w:t xml:space="preserve"> avait suscité des réactions publiques émanant d'institutions de santé et de l'ensemble des sociétés savantes impliquées dans la prévention alcool</w:t>
      </w:r>
      <w:r>
        <w:t xml:space="preserve">, ces modifications pouvant </w:t>
      </w:r>
      <w:r w:rsidRPr="005A52DB">
        <w:t>permettre de nouvelles formes de promotion à la télévision et vidéos sur</w:t>
      </w:r>
      <w:r>
        <w:t xml:space="preserve"> </w:t>
      </w:r>
      <w:r w:rsidRPr="005A52DB">
        <w:t>Internet</w:t>
      </w:r>
      <w:r>
        <w:t xml:space="preserve"> (</w:t>
      </w:r>
      <w:r w:rsidRPr="005763F4">
        <w:t>via</w:t>
      </w:r>
      <w:r>
        <w:t xml:space="preserve"> le parrainage d’</w:t>
      </w:r>
      <w:r w:rsidRPr="005A52DB">
        <w:t>émissions à la télévision ou à</w:t>
      </w:r>
      <w:r>
        <w:t xml:space="preserve"> </w:t>
      </w:r>
      <w:r w:rsidRPr="005A52DB">
        <w:t>la radio, aux heures de grande écoute où l’audience est familiale, ou programmes courts présentant des recettes à base de spiritueux par exemple</w:t>
      </w:r>
      <w:r>
        <w:t>).</w:t>
      </w:r>
    </w:p>
    <w:p w:rsidR="000318F2" w:rsidRDefault="00EA56B7" w:rsidP="000318F2">
      <w:pPr>
        <w:spacing w:before="120"/>
        <w:rPr>
          <w:rFonts w:cs="Arial"/>
          <w:b/>
        </w:rPr>
      </w:pPr>
      <w:r w:rsidRPr="006D4782">
        <w:t xml:space="preserve">Les projets proposés viseront </w:t>
      </w:r>
      <w:r>
        <w:t xml:space="preserve">à étudier </w:t>
      </w:r>
      <w:r w:rsidRPr="006D4782">
        <w:t>l’impact des évolutions réglementaires récentes</w:t>
      </w:r>
      <w:r>
        <w:t xml:space="preserve"> en matière de promotion alcool et à analyser les stratégies des industriels combinant messages de prévention et promotion de produit. Ils porteront notamment sur les pratiques publicitaires </w:t>
      </w:r>
      <w:r w:rsidRPr="006D4782">
        <w:t>(affiche, site internet, réseau</w:t>
      </w:r>
      <w:r>
        <w:t>x</w:t>
      </w:r>
      <w:r w:rsidRPr="006D4782">
        <w:t xml:space="preserve"> sociaux etc.)</w:t>
      </w:r>
      <w:r>
        <w:t xml:space="preserve"> et leurs effets sur les comportements de consommation</w:t>
      </w:r>
    </w:p>
    <w:p w:rsidR="001E7B36" w:rsidRPr="006D4782" w:rsidRDefault="0041243E" w:rsidP="000318F2">
      <w:pPr>
        <w:spacing w:before="120"/>
        <w:rPr>
          <w:rFonts w:cs="Arial"/>
          <w:b/>
        </w:rPr>
      </w:pPr>
      <w:r>
        <w:rPr>
          <w:rFonts w:cs="Arial"/>
          <w:b/>
        </w:rPr>
        <w:t xml:space="preserve">Axe </w:t>
      </w:r>
      <w:r w:rsidR="000318F2">
        <w:rPr>
          <w:rFonts w:cs="Arial"/>
          <w:b/>
        </w:rPr>
        <w:t>3</w:t>
      </w:r>
      <w:r>
        <w:rPr>
          <w:rFonts w:cs="Arial"/>
          <w:b/>
        </w:rPr>
        <w:t> -</w:t>
      </w:r>
      <w:r w:rsidR="001E7B36" w:rsidRPr="006D4782">
        <w:rPr>
          <w:rFonts w:cs="Arial"/>
          <w:b/>
        </w:rPr>
        <w:t xml:space="preserve"> </w:t>
      </w:r>
      <w:r w:rsidR="001E7B36" w:rsidRPr="0041243E">
        <w:rPr>
          <w:rFonts w:cs="Arial"/>
          <w:b/>
        </w:rPr>
        <w:t>Développer et évaluer des interventions de prévention auprès des jeunes ayant montré leur efficacité</w:t>
      </w:r>
      <w:r w:rsidR="001E7B36" w:rsidRPr="006D4782">
        <w:rPr>
          <w:rFonts w:cs="Arial"/>
          <w:b/>
          <w:u w:val="single"/>
        </w:rPr>
        <w:t xml:space="preserve"> </w:t>
      </w:r>
    </w:p>
    <w:p w:rsidR="00580AC4" w:rsidRDefault="001E7B36" w:rsidP="000141C2">
      <w:pPr>
        <w:spacing w:before="120"/>
      </w:pPr>
      <w:r w:rsidRPr="002F4CC2">
        <w:t xml:space="preserve">Plusieurs mesures éducatives d’information et de prévention ont été identifiées comme protectrices vis-à-vis de l’entrée dans une consommation à risque : le développement des compétences psychosociales des jeunes, des compétences parentales, repérage précoce et interventions brèves, outils interactifs, etc. </w:t>
      </w:r>
      <w:r w:rsidRPr="002F4CC2">
        <w:rPr>
          <w:rStyle w:val="Appelnotedebasdep"/>
          <w:rFonts w:cs="Arial"/>
        </w:rPr>
        <w:footnoteReference w:id="11"/>
      </w:r>
      <w:r w:rsidRPr="002F4CC2">
        <w:t xml:space="preserve">. </w:t>
      </w:r>
      <w:r>
        <w:rPr>
          <w:rFonts w:cs="Goudy"/>
          <w:color w:val="000000"/>
        </w:rPr>
        <w:t>Certains</w:t>
      </w:r>
      <w:r w:rsidRPr="002F4CC2">
        <w:rPr>
          <w:rFonts w:cs="Goudy"/>
          <w:color w:val="000000"/>
        </w:rPr>
        <w:t xml:space="preserve"> programmes notamment en milieu scolaire ont montré leur efficacité dans d’autres pay</w:t>
      </w:r>
      <w:r>
        <w:rPr>
          <w:rFonts w:cs="Goudy"/>
          <w:color w:val="000000"/>
        </w:rPr>
        <w:t>s et font l’objet d’</w:t>
      </w:r>
      <w:r w:rsidRPr="002F4CC2">
        <w:t xml:space="preserve">expérimentations menées par Santé Publique France et la </w:t>
      </w:r>
      <w:proofErr w:type="spellStart"/>
      <w:r w:rsidRPr="002F4CC2">
        <w:t>Mildeca</w:t>
      </w:r>
      <w:proofErr w:type="spellEnd"/>
      <w:r w:rsidRPr="002F4CC2">
        <w:t xml:space="preserve"> pour renforcer les compétences psychosociales des jeunes sur les addictions avec le programme </w:t>
      </w:r>
      <w:r w:rsidRPr="000C45F4">
        <w:rPr>
          <w:i/>
        </w:rPr>
        <w:t xml:space="preserve">Good </w:t>
      </w:r>
      <w:proofErr w:type="spellStart"/>
      <w:r w:rsidRPr="000C45F4">
        <w:rPr>
          <w:i/>
        </w:rPr>
        <w:t>Behavioural</w:t>
      </w:r>
      <w:proofErr w:type="spellEnd"/>
      <w:r w:rsidRPr="000C45F4">
        <w:rPr>
          <w:i/>
        </w:rPr>
        <w:t xml:space="preserve"> Game</w:t>
      </w:r>
      <w:r>
        <w:t xml:space="preserve"> (GBG)</w:t>
      </w:r>
      <w:r w:rsidRPr="002F4CC2">
        <w:t xml:space="preserve">,  le programme </w:t>
      </w:r>
      <w:proofErr w:type="spellStart"/>
      <w:r w:rsidRPr="000C45F4">
        <w:rPr>
          <w:i/>
        </w:rPr>
        <w:t>Strengh</w:t>
      </w:r>
      <w:proofErr w:type="spellEnd"/>
      <w:r w:rsidRPr="000C45F4">
        <w:rPr>
          <w:i/>
        </w:rPr>
        <w:t xml:space="preserve"> Program </w:t>
      </w:r>
      <w:proofErr w:type="spellStart"/>
      <w:r w:rsidRPr="000C45F4">
        <w:rPr>
          <w:i/>
        </w:rPr>
        <w:t>Families</w:t>
      </w:r>
      <w:proofErr w:type="spellEnd"/>
      <w:r w:rsidRPr="002F4CC2">
        <w:t xml:space="preserve">, ou le programme européen </w:t>
      </w:r>
      <w:proofErr w:type="spellStart"/>
      <w:r w:rsidRPr="000C45F4">
        <w:rPr>
          <w:i/>
        </w:rPr>
        <w:t>Unplugged</w:t>
      </w:r>
      <w:proofErr w:type="spellEnd"/>
      <w:r w:rsidRPr="002F4CC2">
        <w:t>.</w:t>
      </w:r>
    </w:p>
    <w:p w:rsidR="001E7B36" w:rsidRPr="00D86E6E" w:rsidRDefault="001E7B36" w:rsidP="000141C2">
      <w:pPr>
        <w:spacing w:before="120"/>
      </w:pPr>
      <w:r w:rsidRPr="00D86E6E">
        <w:t xml:space="preserve">Les projets proposeront la mise en place d’actions de prévention auprès des jeunes notamment en milieu scolaire, s’inscrivant dans des démarches ayant montré leur efficacité et une évaluation systématique dans une perspective d’analyse d’efficience des dispositifs et de transférabilité dans des contextes différents (populationnels, lieux, …). </w:t>
      </w:r>
    </w:p>
    <w:p w:rsidR="001E7B36" w:rsidRPr="006D4782" w:rsidRDefault="0041243E" w:rsidP="004D1C58">
      <w:pPr>
        <w:autoSpaceDE w:val="0"/>
        <w:autoSpaceDN w:val="0"/>
        <w:adjustRightInd w:val="0"/>
        <w:spacing w:before="120" w:line="240" w:lineRule="auto"/>
        <w:rPr>
          <w:rFonts w:cs="Arial"/>
          <w:b/>
          <w:u w:val="single"/>
        </w:rPr>
      </w:pPr>
      <w:r>
        <w:rPr>
          <w:rFonts w:cs="Arial"/>
          <w:b/>
        </w:rPr>
        <w:t xml:space="preserve">Axe </w:t>
      </w:r>
      <w:r w:rsidR="000318F2">
        <w:rPr>
          <w:rFonts w:cs="Arial"/>
          <w:b/>
        </w:rPr>
        <w:t>4</w:t>
      </w:r>
      <w:r>
        <w:rPr>
          <w:rFonts w:cs="Arial"/>
          <w:b/>
        </w:rPr>
        <w:t> -</w:t>
      </w:r>
      <w:r w:rsidR="001E7B36" w:rsidRPr="006D4782">
        <w:rPr>
          <w:rFonts w:cs="Arial"/>
          <w:b/>
        </w:rPr>
        <w:t xml:space="preserve"> </w:t>
      </w:r>
      <w:r w:rsidR="001E7B36" w:rsidRPr="0041243E">
        <w:rPr>
          <w:rFonts w:cs="Arial"/>
          <w:b/>
        </w:rPr>
        <w:t xml:space="preserve">Favoriser les actions de repérage, d’intervention et d’accompagnement par les professionnels de santé  propices à la réduction des consommations d’alcool </w:t>
      </w:r>
    </w:p>
    <w:p w:rsidR="001E7B36" w:rsidRPr="009459EA" w:rsidRDefault="001E7B36" w:rsidP="000141C2">
      <w:pPr>
        <w:spacing w:before="120"/>
        <w:rPr>
          <w:rFonts w:cs="Arial"/>
        </w:rPr>
      </w:pPr>
      <w:r>
        <w:t>D’</w:t>
      </w:r>
      <w:r w:rsidRPr="00726B1C">
        <w:t xml:space="preserve">après le Baromètre </w:t>
      </w:r>
      <w:r>
        <w:t>médecin généraliste</w:t>
      </w:r>
      <w:r w:rsidRPr="00726B1C">
        <w:t xml:space="preserve"> 2009</w:t>
      </w:r>
      <w:r>
        <w:rPr>
          <w:rStyle w:val="Appelnotedebasdep"/>
        </w:rPr>
        <w:footnoteReference w:id="12"/>
      </w:r>
      <w:r w:rsidRPr="00726B1C">
        <w:t>, 70% des médecins déclarent n’aborder la question de l’alcool que pour certains patients jugés « à risque ». Seuls 13 % ont recours à des questionnaires standardisés de consommation. Par ailleurs, les professionnels de santé expriment des difficultés à aborder les problèmes d’alcoolisation avec leurs patients, ce qui peut constituer un frein à la prise en charge des patients : 40 % des médecins interrogés en 2009 jugent que poser la question de la consommation d’alcool est difficile.</w:t>
      </w:r>
      <w:r>
        <w:rPr>
          <w:rFonts w:cs="Arial"/>
        </w:rPr>
        <w:t xml:space="preserve"> </w:t>
      </w:r>
      <w:r w:rsidRPr="00726B1C">
        <w:rPr>
          <w:rFonts w:cs="Arial"/>
        </w:rPr>
        <w:t>Une étude</w:t>
      </w:r>
      <w:r>
        <w:rPr>
          <w:rStyle w:val="Appelnotedebasdep"/>
          <w:rFonts w:cs="Arial"/>
        </w:rPr>
        <w:footnoteReference w:id="13"/>
      </w:r>
      <w:r w:rsidRPr="00726B1C">
        <w:rPr>
          <w:rFonts w:cs="Arial"/>
        </w:rPr>
        <w:t xml:space="preserve"> récente sur les attitudes et pratiques des médecins généralistes dans le cadre du suivi de la grossesse souligne que même si la quasi-totalité (94 %) des médecins généralistes déclare aborder la question de la consommation d’alcool avec les femmes enceintes, seuls 61 % le font de manière systématique (c’est-à-dire au moins une fois avec chacune de </w:t>
      </w:r>
      <w:r w:rsidRPr="00726B1C">
        <w:rPr>
          <w:rFonts w:cs="Arial"/>
        </w:rPr>
        <w:lastRenderedPageBreak/>
        <w:t xml:space="preserve">ces patientes). </w:t>
      </w:r>
      <w:r w:rsidRPr="009459EA">
        <w:rPr>
          <w:rFonts w:cs="Arial"/>
        </w:rPr>
        <w:t>Les approches de type repérage précoc</w:t>
      </w:r>
      <w:r>
        <w:rPr>
          <w:rFonts w:cs="Arial"/>
        </w:rPr>
        <w:t>e et intervention brève, sont reconnues</w:t>
      </w:r>
      <w:r w:rsidRPr="009459EA">
        <w:rPr>
          <w:rFonts w:cs="Arial"/>
        </w:rPr>
        <w:t xml:space="preserve"> comme efficaces</w:t>
      </w:r>
      <w:r>
        <w:rPr>
          <w:rFonts w:cs="Arial"/>
        </w:rPr>
        <w:t xml:space="preserve"> chez les hommes</w:t>
      </w:r>
      <w:r>
        <w:rPr>
          <w:rStyle w:val="Appelnotedebasdep"/>
          <w:rFonts w:cs="Arial"/>
        </w:rPr>
        <w:footnoteReference w:id="14"/>
      </w:r>
      <w:r>
        <w:rPr>
          <w:rFonts w:cs="Arial"/>
        </w:rPr>
        <w:t>.</w:t>
      </w:r>
    </w:p>
    <w:p w:rsidR="001E7B36" w:rsidRDefault="001E7B36" w:rsidP="000141C2">
      <w:pPr>
        <w:spacing w:before="120"/>
        <w:rPr>
          <w:rFonts w:cs="Arial"/>
        </w:rPr>
      </w:pPr>
      <w:r w:rsidRPr="006D4782">
        <w:rPr>
          <w:rFonts w:cs="Arial"/>
        </w:rPr>
        <w:t>Des actions de formation et d’accompagnement des professionnels de santé pourront être proposées visant à promouvoir et faciliter les approches de type repérage précoce et intervention brève</w:t>
      </w:r>
      <w:r w:rsidRPr="00C44D20">
        <w:rPr>
          <w:rFonts w:cs="Arial"/>
        </w:rPr>
        <w:t>.</w:t>
      </w:r>
      <w:r>
        <w:rPr>
          <w:rFonts w:cs="Arial"/>
        </w:rPr>
        <w:t xml:space="preserve"> </w:t>
      </w:r>
      <w:r w:rsidRPr="005B09F4">
        <w:rPr>
          <w:rFonts w:cs="Arial"/>
        </w:rPr>
        <w:t>Par exemple, d</w:t>
      </w:r>
      <w:r w:rsidRPr="00533FFC">
        <w:rPr>
          <w:rFonts w:cs="Arial"/>
        </w:rPr>
        <w:t>es projets favorisant l’information émanant du gynécologue ou du généraliste en direction des femmes</w:t>
      </w:r>
      <w:r w:rsidR="00D40D52">
        <w:rPr>
          <w:rFonts w:cs="Arial"/>
        </w:rPr>
        <w:t>,</w:t>
      </w:r>
      <w:r w:rsidRPr="00533FFC">
        <w:rPr>
          <w:rFonts w:cs="Arial"/>
        </w:rPr>
        <w:t xml:space="preserve"> compte tenu du risque d’alcoolisation fœtale pendant la grossesse</w:t>
      </w:r>
      <w:r w:rsidR="00D40D52">
        <w:rPr>
          <w:rFonts w:cs="Arial"/>
        </w:rPr>
        <w:t>,</w:t>
      </w:r>
      <w:r w:rsidRPr="00533FFC">
        <w:rPr>
          <w:rFonts w:cs="Arial"/>
        </w:rPr>
        <w:t xml:space="preserve"> et </w:t>
      </w:r>
      <w:r w:rsidR="00D40D52">
        <w:rPr>
          <w:rFonts w:cs="Arial"/>
        </w:rPr>
        <w:t xml:space="preserve">du </w:t>
      </w:r>
      <w:r w:rsidRPr="00533FFC">
        <w:rPr>
          <w:rFonts w:cs="Arial"/>
        </w:rPr>
        <w:t xml:space="preserve">risque méconnu </w:t>
      </w:r>
      <w:r w:rsidR="00D40D52" w:rsidRPr="00533FFC">
        <w:rPr>
          <w:rFonts w:cs="Arial"/>
        </w:rPr>
        <w:t>d</w:t>
      </w:r>
      <w:r w:rsidR="00D40D52">
        <w:rPr>
          <w:rFonts w:cs="Arial"/>
        </w:rPr>
        <w:t>e</w:t>
      </w:r>
      <w:r w:rsidR="00D40D52" w:rsidRPr="00533FFC">
        <w:rPr>
          <w:rFonts w:cs="Arial"/>
        </w:rPr>
        <w:t xml:space="preserve"> </w:t>
      </w:r>
      <w:r w:rsidRPr="00533FFC">
        <w:rPr>
          <w:rFonts w:cs="Arial"/>
        </w:rPr>
        <w:t>cancer du sein</w:t>
      </w:r>
      <w:r w:rsidR="00D40D52">
        <w:rPr>
          <w:rFonts w:cs="Arial"/>
        </w:rPr>
        <w:t xml:space="preserve"> lié à la consommation d’alcool</w:t>
      </w:r>
      <w:r w:rsidRPr="006D4782">
        <w:rPr>
          <w:rFonts w:cs="Arial"/>
        </w:rPr>
        <w:t>.</w:t>
      </w:r>
      <w:r w:rsidR="00580AC4">
        <w:rPr>
          <w:rFonts w:cs="Arial"/>
        </w:rPr>
        <w:t xml:space="preserve"> </w:t>
      </w:r>
      <w:r>
        <w:rPr>
          <w:rFonts w:cs="Arial"/>
        </w:rPr>
        <w:t xml:space="preserve">Les projets s’attacheront aussi à </w:t>
      </w:r>
      <w:r w:rsidR="002D43E6">
        <w:rPr>
          <w:rFonts w:cs="Arial"/>
        </w:rPr>
        <w:t xml:space="preserve">faire connaître et favoriser l’orientation vers les  </w:t>
      </w:r>
      <w:r>
        <w:rPr>
          <w:rFonts w:cs="Arial"/>
        </w:rPr>
        <w:t>dispositifs existants d’accompagnement</w:t>
      </w:r>
      <w:r w:rsidRPr="00D8073C">
        <w:rPr>
          <w:rFonts w:cs="Arial"/>
        </w:rPr>
        <w:t xml:space="preserve"> </w:t>
      </w:r>
      <w:r>
        <w:rPr>
          <w:rFonts w:cs="Arial"/>
        </w:rPr>
        <w:t>pour le grand public ou les</w:t>
      </w:r>
      <w:r w:rsidRPr="00D8073C">
        <w:rPr>
          <w:rFonts w:cs="Arial"/>
        </w:rPr>
        <w:t xml:space="preserve"> populations </w:t>
      </w:r>
      <w:r>
        <w:rPr>
          <w:rFonts w:cs="Arial"/>
        </w:rPr>
        <w:t>prioritaires telles que les jeunes ou les patients</w:t>
      </w:r>
      <w:r w:rsidRPr="00D8073C">
        <w:rPr>
          <w:rFonts w:cs="Arial"/>
        </w:rPr>
        <w:t xml:space="preserve"> (Consultations Jeunes</w:t>
      </w:r>
      <w:r>
        <w:rPr>
          <w:rFonts w:cs="Arial"/>
        </w:rPr>
        <w:t xml:space="preserve"> </w:t>
      </w:r>
      <w:r w:rsidRPr="00D8073C">
        <w:rPr>
          <w:rFonts w:cs="Arial"/>
        </w:rPr>
        <w:t xml:space="preserve">Consommateurs - CJC, Centre de soins d'accompagnement et de prévention en addictologie </w:t>
      </w:r>
      <w:r>
        <w:rPr>
          <w:rFonts w:cs="Arial"/>
        </w:rPr>
        <w:t>–</w:t>
      </w:r>
      <w:r w:rsidRPr="00D8073C">
        <w:rPr>
          <w:rFonts w:cs="Arial"/>
        </w:rPr>
        <w:t>CSAPA</w:t>
      </w:r>
      <w:r>
        <w:rPr>
          <w:rFonts w:cs="Arial"/>
        </w:rPr>
        <w:t xml:space="preserve">, prévention par les pairs </w:t>
      </w:r>
      <w:r w:rsidRPr="00D8073C">
        <w:rPr>
          <w:rFonts w:cs="Arial"/>
        </w:rPr>
        <w:t>…).</w:t>
      </w:r>
    </w:p>
    <w:p w:rsidR="0028312E" w:rsidRDefault="0041243E" w:rsidP="0041243E">
      <w:pPr>
        <w:pStyle w:val="Titre2"/>
      </w:pPr>
      <w:bookmarkStart w:id="21" w:name="_Toc401231645"/>
      <w:bookmarkStart w:id="22" w:name="_Toc403578760"/>
      <w:bookmarkStart w:id="23" w:name="_Toc468797906"/>
      <w:bookmarkStart w:id="24" w:name="_Toc468798598"/>
      <w:bookmarkStart w:id="25" w:name="_Toc468800084"/>
      <w:bookmarkStart w:id="26" w:name="_Toc499804624"/>
      <w:bookmarkStart w:id="27" w:name="_Toc341270868"/>
      <w:r>
        <w:t>D</w:t>
      </w:r>
      <w:r w:rsidR="00AD57B3" w:rsidRPr="008C296C">
        <w:t>épistage</w:t>
      </w:r>
      <w:bookmarkEnd w:id="21"/>
      <w:bookmarkEnd w:id="22"/>
      <w:bookmarkEnd w:id="23"/>
      <w:bookmarkEnd w:id="24"/>
      <w:bookmarkEnd w:id="25"/>
      <w:bookmarkEnd w:id="26"/>
      <w:r w:rsidR="00AD57B3" w:rsidRPr="008C296C">
        <w:t> </w:t>
      </w:r>
      <w:bookmarkEnd w:id="27"/>
    </w:p>
    <w:p w:rsidR="008F0691" w:rsidRDefault="008F0691" w:rsidP="007C65BE">
      <w:r>
        <w:t xml:space="preserve">Les axes de cet appel à projets </w:t>
      </w:r>
      <w:r w:rsidRPr="008C296C">
        <w:t>porte</w:t>
      </w:r>
      <w:r>
        <w:t>nt</w:t>
      </w:r>
      <w:r w:rsidRPr="008C296C">
        <w:t xml:space="preserve"> sur les programmes de dépistage du cancer du sein</w:t>
      </w:r>
      <w:r>
        <w:t xml:space="preserve"> et </w:t>
      </w:r>
      <w:r w:rsidRPr="008C296C">
        <w:t>du cancer colorectal.</w:t>
      </w:r>
      <w:r>
        <w:t xml:space="preserve"> Ces axes portent sur des thématiques de travail prioritaires pour les deux programmes précités.</w:t>
      </w:r>
    </w:p>
    <w:p w:rsidR="00C64CFC" w:rsidRDefault="00C64CFC" w:rsidP="007C65BE"/>
    <w:p w:rsidR="005A0DAE" w:rsidRPr="008C296C" w:rsidRDefault="005A0DAE" w:rsidP="005A0DAE">
      <w:pPr>
        <w:spacing w:after="120"/>
        <w:rPr>
          <w:rFonts w:cs="Tahoma"/>
          <w:b/>
        </w:rPr>
      </w:pPr>
      <w:r>
        <w:rPr>
          <w:rFonts w:cs="Tahoma"/>
          <w:b/>
        </w:rPr>
        <w:t>Axe 1</w:t>
      </w:r>
      <w:r w:rsidRPr="008C296C">
        <w:rPr>
          <w:rFonts w:cs="Tahoma"/>
          <w:b/>
        </w:rPr>
        <w:t xml:space="preserve"> </w:t>
      </w:r>
      <w:r>
        <w:rPr>
          <w:rFonts w:cs="Tahoma"/>
          <w:b/>
        </w:rPr>
        <w:t>– Améliorer la participation et l’efficacité du programme de dépistage organisé du cancer colorectal (actions 1.6, 1.7 et 1.8 du Plan cancer 2014-2019)</w:t>
      </w:r>
    </w:p>
    <w:p w:rsidR="005A0DAE" w:rsidRDefault="005A0DAE" w:rsidP="005A0DAE">
      <w:r w:rsidRPr="00050E17">
        <w:t>La détection précoce de lésions précancéreuses ou cancéreuses du cancer colorectal repose sur une détection de sang dans les selles</w:t>
      </w:r>
      <w:r>
        <w:t xml:space="preserve">. </w:t>
      </w:r>
      <w:r w:rsidRPr="00D965D7">
        <w:t>Depuis mai 2015, ce kit recourt à u</w:t>
      </w:r>
      <w:r>
        <w:t>n</w:t>
      </w:r>
      <w:r w:rsidRPr="00D965D7">
        <w:t xml:space="preserve"> test immunologique, plus performant et plus simple d’utilisation</w:t>
      </w:r>
      <w:r>
        <w:t xml:space="preserve"> que le test au gaïac</w:t>
      </w:r>
      <w:r w:rsidRPr="00D965D7">
        <w:t xml:space="preserve">. </w:t>
      </w:r>
    </w:p>
    <w:p w:rsidR="005A0DAE" w:rsidRDefault="005A0DAE" w:rsidP="005A0DAE">
      <w:r w:rsidRPr="008B265F">
        <w:t>La stratégie principale de remise de kits de dépistage</w:t>
      </w:r>
      <w:r>
        <w:t xml:space="preserve"> du cancer colorectal</w:t>
      </w:r>
      <w:r w:rsidRPr="008B265F">
        <w:t xml:space="preserve"> </w:t>
      </w:r>
      <w:r>
        <w:t>dans le cadre du programme national</w:t>
      </w:r>
      <w:r w:rsidRPr="008B265F">
        <w:t xml:space="preserve"> est la remise du kit de dépistage par le médecin traitant, le plus souvent un médecin généraliste. </w:t>
      </w:r>
      <w:r>
        <w:t>L</w:t>
      </w:r>
      <w:r w:rsidRPr="005D2A71">
        <w:t>’arrêté</w:t>
      </w:r>
      <w:r>
        <w:rPr>
          <w:rStyle w:val="Appelnotedebasdep"/>
        </w:rPr>
        <w:footnoteReference w:id="15"/>
      </w:r>
      <w:r w:rsidRPr="005D2A71">
        <w:t xml:space="preserve"> </w:t>
      </w:r>
      <w:r>
        <w:t>encadrant cette modalité autorise</w:t>
      </w:r>
      <w:r w:rsidRPr="008B265F">
        <w:t xml:space="preserve"> la remise complémentaire de kit de dépistage par d</w:t>
      </w:r>
      <w:r>
        <w:t>’autres professionnels de santé</w:t>
      </w:r>
      <w:r w:rsidRPr="008B265F">
        <w:t xml:space="preserve">. </w:t>
      </w:r>
    </w:p>
    <w:p w:rsidR="005A0DAE" w:rsidRDefault="005A0DAE" w:rsidP="005A0DAE">
      <w:r>
        <w:t>L’INCa souhaite favoriser l</w:t>
      </w:r>
      <w:r w:rsidRPr="008B265F">
        <w:t>e développement de modalités complémentaires de remise de kits</w:t>
      </w:r>
      <w:r>
        <w:t xml:space="preserve"> qui</w:t>
      </w:r>
      <w:r w:rsidRPr="008B265F">
        <w:t xml:space="preserve"> s’</w:t>
      </w:r>
      <w:r>
        <w:t>inscrit dans une stratégie d’amélioration de</w:t>
      </w:r>
      <w:r w:rsidRPr="008B265F">
        <w:t xml:space="preserve"> la participation</w:t>
      </w:r>
      <w:r>
        <w:t xml:space="preserve"> de la population</w:t>
      </w:r>
      <w:r w:rsidRPr="008B265F">
        <w:t xml:space="preserve">, y compris en allant vers des populations </w:t>
      </w:r>
      <w:r>
        <w:t>n’ayant</w:t>
      </w:r>
      <w:r w:rsidRPr="008B265F">
        <w:t xml:space="preserve"> pas </w:t>
      </w:r>
      <w:r>
        <w:t>recours à un</w:t>
      </w:r>
      <w:r w:rsidRPr="008B265F">
        <w:t xml:space="preserve"> médecin (non consultation, désertification médicale…).</w:t>
      </w:r>
    </w:p>
    <w:p w:rsidR="005A0DAE" w:rsidRDefault="005A0DAE" w:rsidP="005A0DAE"/>
    <w:p w:rsidR="005A0DAE" w:rsidRDefault="005A0DAE" w:rsidP="005A0DAE">
      <w:r>
        <w:t>Les projets porteront notamment sur l’évaluation d</w:t>
      </w:r>
      <w:r w:rsidRPr="000E3F90">
        <w:t>e stratégies complémentaires</w:t>
      </w:r>
      <w:r>
        <w:t> </w:t>
      </w:r>
      <w:r w:rsidRPr="004404BB">
        <w:t>de remise de kits</w:t>
      </w:r>
      <w:r w:rsidR="00EA56B7">
        <w:t xml:space="preserve"> </w:t>
      </w:r>
      <w:r>
        <w:t>:</w:t>
      </w:r>
    </w:p>
    <w:p w:rsidR="005A0DAE" w:rsidRDefault="005A0DAE" w:rsidP="005A0DAE">
      <w:pPr>
        <w:pStyle w:val="Paragraphedeliste"/>
        <w:numPr>
          <w:ilvl w:val="0"/>
          <w:numId w:val="3"/>
        </w:numPr>
        <w:rPr>
          <w:rFonts w:cs="Tahoma"/>
        </w:rPr>
      </w:pPr>
      <w:r w:rsidRPr="004404BB">
        <w:rPr>
          <w:rFonts w:cs="Tahoma"/>
        </w:rPr>
        <w:t xml:space="preserve">par des </w:t>
      </w:r>
      <w:r>
        <w:rPr>
          <w:rFonts w:cs="Tahoma"/>
        </w:rPr>
        <w:t>pharmaciens sur des territoires diversifiés, en particulier pour une remise de kits en seconde relance ;</w:t>
      </w:r>
    </w:p>
    <w:p w:rsidR="005A0DAE" w:rsidRDefault="005A0DAE" w:rsidP="005A0DAE">
      <w:pPr>
        <w:pStyle w:val="Paragraphedeliste"/>
        <w:numPr>
          <w:ilvl w:val="0"/>
          <w:numId w:val="3"/>
        </w:numPr>
        <w:rPr>
          <w:rFonts w:cs="Tahoma"/>
        </w:rPr>
      </w:pPr>
      <w:r>
        <w:rPr>
          <w:rFonts w:cs="Tahoma"/>
        </w:rPr>
        <w:t xml:space="preserve">par d’autres </w:t>
      </w:r>
      <w:r w:rsidRPr="004404BB">
        <w:rPr>
          <w:rFonts w:cs="Tahoma"/>
        </w:rPr>
        <w:t>professionnels de santé (</w:t>
      </w:r>
      <w:r>
        <w:rPr>
          <w:rFonts w:cs="Tahoma"/>
        </w:rPr>
        <w:t>médecins du travail</w:t>
      </w:r>
      <w:r w:rsidRPr="004404BB">
        <w:rPr>
          <w:rFonts w:cs="Tahoma"/>
        </w:rPr>
        <w:t>…)</w:t>
      </w:r>
      <w:r>
        <w:rPr>
          <w:rFonts w:cs="Tahoma"/>
        </w:rPr>
        <w:t> ;</w:t>
      </w:r>
    </w:p>
    <w:p w:rsidR="005A0DAE" w:rsidRDefault="00EA56B7" w:rsidP="005A0DAE">
      <w:pPr>
        <w:pStyle w:val="Paragraphedeliste"/>
        <w:numPr>
          <w:ilvl w:val="0"/>
          <w:numId w:val="3"/>
        </w:numPr>
        <w:rPr>
          <w:rFonts w:cs="Tahoma"/>
        </w:rPr>
      </w:pPr>
      <w:r>
        <w:rPr>
          <w:rFonts w:cs="Tahoma"/>
        </w:rPr>
        <w:t xml:space="preserve">par envoi direct </w:t>
      </w:r>
      <w:r w:rsidR="005A0DAE">
        <w:rPr>
          <w:rFonts w:cs="Tahoma"/>
        </w:rPr>
        <w:t>en première intention ou en relance de la population-cible à participer au programme (1</w:t>
      </w:r>
      <w:r w:rsidR="005A0DAE" w:rsidRPr="00D718BD">
        <w:rPr>
          <w:rFonts w:cs="Tahoma"/>
          <w:vertAlign w:val="superscript"/>
        </w:rPr>
        <w:t>ère</w:t>
      </w:r>
      <w:r w:rsidR="005A0DAE">
        <w:rPr>
          <w:rFonts w:cs="Tahoma"/>
        </w:rPr>
        <w:t xml:space="preserve"> &amp; 2</w:t>
      </w:r>
      <w:r w:rsidR="005A0DAE" w:rsidRPr="00D718BD">
        <w:rPr>
          <w:rFonts w:cs="Tahoma"/>
          <w:vertAlign w:val="superscript"/>
        </w:rPr>
        <w:t>ème</w:t>
      </w:r>
      <w:r w:rsidR="005A0DAE">
        <w:rPr>
          <w:rFonts w:cs="Tahoma"/>
        </w:rPr>
        <w:t xml:space="preserve"> relances) ;</w:t>
      </w:r>
    </w:p>
    <w:p w:rsidR="005A0DAE" w:rsidRDefault="00EA56B7" w:rsidP="005A0DAE">
      <w:pPr>
        <w:pStyle w:val="Paragraphedeliste"/>
        <w:numPr>
          <w:ilvl w:val="0"/>
          <w:numId w:val="3"/>
        </w:numPr>
        <w:rPr>
          <w:rFonts w:cs="Tahoma"/>
        </w:rPr>
      </w:pPr>
      <w:r>
        <w:rPr>
          <w:rFonts w:cs="Tahoma"/>
        </w:rPr>
        <w:t xml:space="preserve">par envoi </w:t>
      </w:r>
      <w:r w:rsidR="005A0DAE">
        <w:rPr>
          <w:rFonts w:cs="Tahoma"/>
        </w:rPr>
        <w:t xml:space="preserve">à la suite d’une réponse de la population-cible à une incitation directe (adressage d’un </w:t>
      </w:r>
      <w:r w:rsidR="005A0DAE" w:rsidRPr="004404BB">
        <w:rPr>
          <w:rFonts w:cs="Tahoma"/>
        </w:rPr>
        <w:t>SMS</w:t>
      </w:r>
      <w:r w:rsidR="005A0DAE">
        <w:rPr>
          <w:rFonts w:cs="Tahoma"/>
        </w:rPr>
        <w:t xml:space="preserve"> ou d’un</w:t>
      </w:r>
      <w:r w:rsidR="005A0DAE" w:rsidRPr="004404BB">
        <w:rPr>
          <w:rFonts w:cs="Tahoma"/>
        </w:rPr>
        <w:t xml:space="preserve"> coupon-réponse</w:t>
      </w:r>
      <w:r w:rsidR="005A0DAE">
        <w:rPr>
          <w:rFonts w:cs="Tahoma"/>
        </w:rPr>
        <w:t>)</w:t>
      </w:r>
      <w:r w:rsidR="005A0DAE" w:rsidRPr="004404BB">
        <w:rPr>
          <w:rFonts w:cs="Tahoma"/>
        </w:rPr>
        <w:t>.</w:t>
      </w:r>
    </w:p>
    <w:p w:rsidR="005A0DAE" w:rsidRPr="00803557" w:rsidRDefault="005A0DAE" w:rsidP="005A0DAE">
      <w:pPr>
        <w:rPr>
          <w:rFonts w:cs="Tahoma"/>
        </w:rPr>
      </w:pPr>
      <w:r>
        <w:rPr>
          <w:rFonts w:cs="Tahoma"/>
        </w:rPr>
        <w:t>Une dérogation de la DGS à l’arrêté relatif au dépistage du cancer colorectal sera nécessaire à leur mise en œuvre.</w:t>
      </w:r>
    </w:p>
    <w:p w:rsidR="005A0DAE" w:rsidRDefault="005A0DAE" w:rsidP="008F0691">
      <w:pPr>
        <w:spacing w:after="120"/>
        <w:rPr>
          <w:rFonts w:cs="Tahoma"/>
          <w:b/>
        </w:rPr>
      </w:pPr>
    </w:p>
    <w:p w:rsidR="005A0DAE" w:rsidRPr="0069248D" w:rsidRDefault="005A0DAE" w:rsidP="005A0DAE">
      <w:pPr>
        <w:spacing w:after="120"/>
        <w:rPr>
          <w:rFonts w:cs="Tahoma"/>
          <w:b/>
        </w:rPr>
      </w:pPr>
      <w:r>
        <w:rPr>
          <w:rFonts w:cs="Tahoma"/>
          <w:b/>
        </w:rPr>
        <w:lastRenderedPageBreak/>
        <w:t>Axe 2</w:t>
      </w:r>
      <w:r w:rsidRPr="0069248D">
        <w:rPr>
          <w:rFonts w:cs="Tahoma"/>
          <w:b/>
        </w:rPr>
        <w:t xml:space="preserve"> –</w:t>
      </w:r>
      <w:r>
        <w:rPr>
          <w:rFonts w:cs="Tahoma"/>
          <w:b/>
        </w:rPr>
        <w:t xml:space="preserve"> Contribuer à la rénovation </w:t>
      </w:r>
      <w:r w:rsidRPr="0069248D">
        <w:rPr>
          <w:rFonts w:cs="Tahoma"/>
          <w:b/>
        </w:rPr>
        <w:t>du programme de dépistage du cancer du sein</w:t>
      </w:r>
      <w:r>
        <w:rPr>
          <w:rFonts w:cs="Tahoma"/>
          <w:b/>
        </w:rPr>
        <w:t xml:space="preserve"> (actions 1.6 du Plan cancer 2014-2019 et Plan d’action pour la rénovation du dépistage organisé du cancer du sein)</w:t>
      </w:r>
    </w:p>
    <w:p w:rsidR="005A0DAE" w:rsidRDefault="005A0DAE" w:rsidP="005A0DAE">
      <w:r>
        <w:t>A l’issue de la concertation citoyenne et scientifique de 2015-2016 sur le programme de dépistage organisé du cancer du sein, la Ministre de la santé a lancé un programme de dépistage organisé rénové qui renforce l’information des femmes dès 25 ans et améliore le suivi de toutes les femmes.</w:t>
      </w:r>
    </w:p>
    <w:p w:rsidR="005A0DAE" w:rsidRDefault="005A0DAE" w:rsidP="005A0DAE">
      <w:r>
        <w:t xml:space="preserve">Les projets qui pourront être soumis dans le cadre de cet appel à projet devront répondre à l’un des deux objectifs suivants : </w:t>
      </w:r>
    </w:p>
    <w:p w:rsidR="005A0DAE" w:rsidRDefault="005A0DAE" w:rsidP="005A0DAE">
      <w:pPr>
        <w:pStyle w:val="Paragraphedeliste"/>
        <w:numPr>
          <w:ilvl w:val="0"/>
          <w:numId w:val="3"/>
        </w:numPr>
        <w:spacing w:before="120"/>
      </w:pPr>
      <w:r w:rsidRPr="00BA5961">
        <w:rPr>
          <w:rFonts w:cs="Calibri"/>
          <w:b/>
          <w:bCs/>
          <w:color w:val="000000"/>
        </w:rPr>
        <w:t xml:space="preserve">Expérimenter et évaluer un double système de double lecture des lames en </w:t>
      </w:r>
      <w:proofErr w:type="spellStart"/>
      <w:r w:rsidRPr="00BA5961">
        <w:rPr>
          <w:rFonts w:cs="Calibri"/>
          <w:b/>
          <w:bCs/>
          <w:color w:val="000000"/>
        </w:rPr>
        <w:t>anatomo</w:t>
      </w:r>
      <w:proofErr w:type="spellEnd"/>
      <w:r w:rsidRPr="00BA5961">
        <w:rPr>
          <w:rFonts w:cs="Calibri"/>
          <w:b/>
          <w:bCs/>
          <w:color w:val="000000"/>
        </w:rPr>
        <w:t>-cytopathologie</w:t>
      </w:r>
      <w:r w:rsidRPr="007C65BE">
        <w:t xml:space="preserve">. En effet, la mesure 8 du plan de rénovation du dépistage des cancers du sein porte sur l'amélioration de la qualité en radiologie et en </w:t>
      </w:r>
      <w:proofErr w:type="spellStart"/>
      <w:r w:rsidRPr="007C65BE">
        <w:t>anatomo</w:t>
      </w:r>
      <w:proofErr w:type="spellEnd"/>
      <w:r w:rsidRPr="007C65BE">
        <w:t>-cytopathologie. La détection de lésions infra-cliniques avec ou sans micro-calcifications (les lésions dites frontières et les carcinomes intra canalaires de bas grade) permet d’identifier des tumeurs à un stade précoce mais qui sont parfois à la limite de la malignité ;</w:t>
      </w:r>
    </w:p>
    <w:p w:rsidR="00A93C53" w:rsidRPr="007C65BE" w:rsidRDefault="00A93C53" w:rsidP="00A93C53">
      <w:pPr>
        <w:pStyle w:val="Paragraphedeliste"/>
        <w:spacing w:before="120"/>
      </w:pPr>
    </w:p>
    <w:p w:rsidR="005A0DAE" w:rsidRPr="007C65BE" w:rsidRDefault="005A0DAE" w:rsidP="000318F2">
      <w:pPr>
        <w:pStyle w:val="Paragraphedeliste"/>
        <w:numPr>
          <w:ilvl w:val="0"/>
          <w:numId w:val="3"/>
        </w:numPr>
        <w:autoSpaceDE w:val="0"/>
        <w:autoSpaceDN w:val="0"/>
        <w:adjustRightInd w:val="0"/>
        <w:spacing w:before="120"/>
        <w:ind w:left="714" w:hanging="357"/>
      </w:pPr>
      <w:r w:rsidRPr="00BA5961">
        <w:rPr>
          <w:rFonts w:cs="Calibri"/>
          <w:b/>
          <w:bCs/>
          <w:color w:val="000000"/>
        </w:rPr>
        <w:t>Mettre à disposition des professionnels de santé des outils d'aide à la décision pour le choix des femmes</w:t>
      </w:r>
      <w:r w:rsidR="000318F2">
        <w:rPr>
          <w:rFonts w:cs="Calibri"/>
          <w:b/>
          <w:bCs/>
          <w:color w:val="000000"/>
        </w:rPr>
        <w:t>, dans le cadre du plan national de rénovation du dépistage du cancer du sein</w:t>
      </w:r>
      <w:r w:rsidRPr="00BA5961">
        <w:rPr>
          <w:rFonts w:cs="Calibri"/>
          <w:b/>
          <w:bCs/>
          <w:color w:val="000000"/>
        </w:rPr>
        <w:t xml:space="preserve">. </w:t>
      </w:r>
      <w:r w:rsidRPr="007C65BE">
        <w:t xml:space="preserve">Il s’agit de construire, d’évaluer et de proposer pour les professionnels des outils d’aide à la décision à utiliser lors des consultations médicales et adaptés à la spécialité du médecin interlocuteur de la femme concernée. </w:t>
      </w:r>
    </w:p>
    <w:p w:rsidR="008F0691" w:rsidRPr="008C296C" w:rsidRDefault="008F0691" w:rsidP="000318F2">
      <w:pPr>
        <w:spacing w:before="240" w:after="120"/>
        <w:rPr>
          <w:rFonts w:cs="Tahoma"/>
          <w:b/>
        </w:rPr>
      </w:pPr>
      <w:r>
        <w:rPr>
          <w:rFonts w:cs="Tahoma"/>
          <w:b/>
        </w:rPr>
        <w:t xml:space="preserve">Axe </w:t>
      </w:r>
      <w:r w:rsidR="005A0DAE">
        <w:rPr>
          <w:rFonts w:cs="Tahoma"/>
          <w:b/>
        </w:rPr>
        <w:t>3</w:t>
      </w:r>
      <w:r w:rsidRPr="008C296C">
        <w:rPr>
          <w:rFonts w:cs="Tahoma"/>
          <w:b/>
        </w:rPr>
        <w:t xml:space="preserve"> </w:t>
      </w:r>
      <w:r>
        <w:rPr>
          <w:rFonts w:cs="Tahoma"/>
          <w:b/>
        </w:rPr>
        <w:t>–</w:t>
      </w:r>
      <w:r w:rsidRPr="008C296C">
        <w:rPr>
          <w:rFonts w:cs="Tahoma"/>
          <w:b/>
        </w:rPr>
        <w:t xml:space="preserve"> </w:t>
      </w:r>
      <w:r>
        <w:rPr>
          <w:rFonts w:cs="Tahoma"/>
          <w:b/>
        </w:rPr>
        <w:t xml:space="preserve">Evaluer la faisabilité de l’intégration de la </w:t>
      </w:r>
      <w:proofErr w:type="spellStart"/>
      <w:r>
        <w:rPr>
          <w:rFonts w:cs="Tahoma"/>
          <w:b/>
        </w:rPr>
        <w:t>tomosynthèse</w:t>
      </w:r>
      <w:proofErr w:type="spellEnd"/>
      <w:r>
        <w:rPr>
          <w:rFonts w:cs="Tahoma"/>
          <w:b/>
        </w:rPr>
        <w:t xml:space="preserve"> dans le programme de dépistage organisé du cancer du sein </w:t>
      </w:r>
      <w:r w:rsidRPr="00761B71">
        <w:rPr>
          <w:rFonts w:cs="Tahoma"/>
          <w:b/>
        </w:rPr>
        <w:t>et son impact sur la performance du programme</w:t>
      </w:r>
      <w:r>
        <w:rPr>
          <w:rFonts w:cs="Tahoma"/>
          <w:b/>
        </w:rPr>
        <w:t xml:space="preserve"> (actions 1.6 et 1.11 du Plan cancer 2014-2019)</w:t>
      </w:r>
    </w:p>
    <w:p w:rsidR="008F0691" w:rsidRDefault="008F0691" w:rsidP="007C65BE">
      <w:r>
        <w:t>L'INCa</w:t>
      </w:r>
      <w:r w:rsidRPr="00834193">
        <w:t xml:space="preserve"> est mobilisé pour faire émerger l'innovation, accompagner son développement et accélérer la mise à disposition de nouvelles prises en charge </w:t>
      </w:r>
      <w:r>
        <w:t>de dépistage, diagnostiques et thérapeutiques</w:t>
      </w:r>
      <w:r w:rsidRPr="00834193">
        <w:t xml:space="preserve">. </w:t>
      </w:r>
      <w:r>
        <w:t>Dans ce cadre, l</w:t>
      </w:r>
      <w:r w:rsidRPr="008C296C">
        <w:t xml:space="preserve">e </w:t>
      </w:r>
      <w:r>
        <w:t>programme de dépistage actuel du cancer du sein</w:t>
      </w:r>
      <w:r w:rsidRPr="008C296C">
        <w:t xml:space="preserve"> </w:t>
      </w:r>
      <w:r>
        <w:t xml:space="preserve">pourrait bénéficier de nouveaux types d’innovations en termes technologiques et organisationnels. </w:t>
      </w:r>
    </w:p>
    <w:p w:rsidR="008F0691" w:rsidRDefault="008F0691" w:rsidP="007C65BE">
      <w:r w:rsidRPr="00BB031F">
        <w:t>Des travaux récents ont rapporté des résultats</w:t>
      </w:r>
      <w:r>
        <w:t xml:space="preserve"> marquants</w:t>
      </w:r>
      <w:r w:rsidRPr="00BB031F">
        <w:t xml:space="preserve"> sur la performance clinique de la </w:t>
      </w:r>
      <w:proofErr w:type="spellStart"/>
      <w:r w:rsidRPr="00BB031F">
        <w:t>tomosynthèse</w:t>
      </w:r>
      <w:proofErr w:type="spellEnd"/>
      <w:r w:rsidRPr="00BB031F">
        <w:t xml:space="preserve"> en situation de dépistage du cancer du sein</w:t>
      </w:r>
      <w:r>
        <w:t>.</w:t>
      </w:r>
      <w:r w:rsidRPr="00BB031F">
        <w:t xml:space="preserve"> </w:t>
      </w:r>
    </w:p>
    <w:p w:rsidR="008F0691" w:rsidRDefault="008F0691" w:rsidP="007C65BE">
      <w:r>
        <w:t xml:space="preserve">Cet axe ne s’inscrit pas dans le cadre d’un projet de recherche du type développement (objet des projets de recherche PAIR ou PHRC) mais davantage dans la définition des modalités d’application de certaines pistes de dépistage. Pour autant, les projets soumis devront être construits sur une base méthodologique robuste intégrant une partie évaluation (appui par une équipe de </w:t>
      </w:r>
      <w:proofErr w:type="spellStart"/>
      <w:r>
        <w:t>méthodologistes</w:t>
      </w:r>
      <w:proofErr w:type="spellEnd"/>
      <w:r>
        <w:t xml:space="preserve"> souhaité).</w:t>
      </w:r>
    </w:p>
    <w:p w:rsidR="008F0691" w:rsidRDefault="008F0691" w:rsidP="007C65BE">
      <w:r>
        <w:t>Les projets devront répondre aux objectifs suivants (études prospectives ou rétrospectives sur la base des installations existantes)</w:t>
      </w:r>
      <w:r w:rsidRPr="00B91F06">
        <w:t xml:space="preserve"> :</w:t>
      </w:r>
    </w:p>
    <w:p w:rsidR="008F0691" w:rsidRDefault="008F0691" w:rsidP="008F0691">
      <w:pPr>
        <w:pStyle w:val="Paragraphedeliste"/>
        <w:numPr>
          <w:ilvl w:val="0"/>
          <w:numId w:val="10"/>
        </w:numPr>
        <w:rPr>
          <w:rFonts w:cs="Tahoma"/>
        </w:rPr>
      </w:pPr>
      <w:r w:rsidRPr="007828D0">
        <w:rPr>
          <w:rFonts w:cs="Tahoma"/>
        </w:rPr>
        <w:t xml:space="preserve">Evaluer l’impact de la </w:t>
      </w:r>
      <w:proofErr w:type="spellStart"/>
      <w:r w:rsidRPr="007828D0">
        <w:rPr>
          <w:rFonts w:cs="Tahoma"/>
        </w:rPr>
        <w:t>tomosynthèse</w:t>
      </w:r>
      <w:proofErr w:type="spellEnd"/>
      <w:r w:rsidRPr="007828D0">
        <w:rPr>
          <w:rFonts w:cs="Tahoma"/>
        </w:rPr>
        <w:t xml:space="preserve"> sur la survenue des cancers d’intervalle et</w:t>
      </w:r>
      <w:r>
        <w:rPr>
          <w:rFonts w:cs="Tahoma"/>
        </w:rPr>
        <w:t>,</w:t>
      </w:r>
      <w:r w:rsidRPr="007828D0">
        <w:rPr>
          <w:rFonts w:cs="Tahoma"/>
        </w:rPr>
        <w:t xml:space="preserve"> le cas échéant</w:t>
      </w:r>
      <w:r>
        <w:rPr>
          <w:rFonts w:cs="Tahoma"/>
        </w:rPr>
        <w:t>,</w:t>
      </w:r>
      <w:r w:rsidRPr="007828D0">
        <w:rPr>
          <w:rFonts w:cs="Tahoma"/>
        </w:rPr>
        <w:t xml:space="preserve"> la modélisation et l’adaptatio</w:t>
      </w:r>
      <w:r>
        <w:rPr>
          <w:rFonts w:cs="Tahoma"/>
        </w:rPr>
        <w:t>n du dépistage ;</w:t>
      </w:r>
    </w:p>
    <w:p w:rsidR="00A93C53" w:rsidRPr="007828D0" w:rsidRDefault="00A93C53" w:rsidP="00A93C53">
      <w:pPr>
        <w:pStyle w:val="Paragraphedeliste"/>
        <w:numPr>
          <w:ilvl w:val="0"/>
          <w:numId w:val="10"/>
        </w:numPr>
        <w:rPr>
          <w:rFonts w:cs="Tahoma"/>
        </w:rPr>
      </w:pPr>
      <w:r>
        <w:rPr>
          <w:rFonts w:cs="Tahoma"/>
        </w:rPr>
        <w:t>Evaluer l’impact et l’intérêt d’une 2</w:t>
      </w:r>
      <w:r w:rsidRPr="00830E64">
        <w:rPr>
          <w:rFonts w:cs="Tahoma"/>
          <w:vertAlign w:val="superscript"/>
        </w:rPr>
        <w:t>nde</w:t>
      </w:r>
      <w:r>
        <w:rPr>
          <w:rFonts w:cs="Tahoma"/>
        </w:rPr>
        <w:t xml:space="preserve"> lecture post </w:t>
      </w:r>
      <w:proofErr w:type="spellStart"/>
      <w:r>
        <w:rPr>
          <w:rFonts w:cs="Tahoma"/>
        </w:rPr>
        <w:t>tomosynthèse</w:t>
      </w:r>
      <w:proofErr w:type="spellEnd"/>
      <w:r>
        <w:rPr>
          <w:rFonts w:cs="Tahoma"/>
        </w:rPr>
        <w:t xml:space="preserve"> en tenant compte des conditions de la pratique et de l’organisation du dépistage en France ;</w:t>
      </w:r>
    </w:p>
    <w:p w:rsidR="008F0691" w:rsidRDefault="008F0691" w:rsidP="008F0691">
      <w:pPr>
        <w:pStyle w:val="Paragraphedeliste"/>
        <w:numPr>
          <w:ilvl w:val="0"/>
          <w:numId w:val="10"/>
        </w:numPr>
        <w:spacing w:before="120"/>
        <w:rPr>
          <w:rFonts w:cs="Tahoma"/>
        </w:rPr>
      </w:pPr>
      <w:r>
        <w:rPr>
          <w:rFonts w:cs="Tahoma"/>
        </w:rPr>
        <w:t xml:space="preserve">Evaluer </w:t>
      </w:r>
      <w:r w:rsidRPr="007828D0">
        <w:rPr>
          <w:rFonts w:cs="Tahoma"/>
        </w:rPr>
        <w:t xml:space="preserve">la faisabilité de </w:t>
      </w:r>
      <w:r w:rsidR="00D220A1">
        <w:rPr>
          <w:rFonts w:cs="Tahoma"/>
        </w:rPr>
        <w:t>l’</w:t>
      </w:r>
      <w:r w:rsidRPr="007828D0">
        <w:rPr>
          <w:rFonts w:cs="Tahoma"/>
        </w:rPr>
        <w:t xml:space="preserve">intégration </w:t>
      </w:r>
      <w:r w:rsidR="00D220A1">
        <w:rPr>
          <w:rFonts w:cs="Tahoma"/>
        </w:rPr>
        <w:t xml:space="preserve">de la </w:t>
      </w:r>
      <w:proofErr w:type="spellStart"/>
      <w:r w:rsidR="00D220A1">
        <w:rPr>
          <w:rFonts w:cs="Tahoma"/>
        </w:rPr>
        <w:t>tomosynthèse</w:t>
      </w:r>
      <w:proofErr w:type="spellEnd"/>
      <w:r w:rsidR="00D220A1">
        <w:rPr>
          <w:rFonts w:cs="Tahoma"/>
        </w:rPr>
        <w:t xml:space="preserve"> </w:t>
      </w:r>
      <w:r w:rsidRPr="007828D0">
        <w:rPr>
          <w:rFonts w:cs="Tahoma"/>
        </w:rPr>
        <w:t>dans le programme de dépistage organisé</w:t>
      </w:r>
      <w:r w:rsidR="00D220A1" w:rsidRPr="00D220A1">
        <w:rPr>
          <w:rFonts w:cs="Tahoma"/>
        </w:rPr>
        <w:t xml:space="preserve"> </w:t>
      </w:r>
      <w:r w:rsidR="00D220A1">
        <w:rPr>
          <w:rFonts w:cs="Tahoma"/>
        </w:rPr>
        <w:t>et le maintien de la qualité</w:t>
      </w:r>
      <w:r w:rsidR="00A93C53">
        <w:rPr>
          <w:rFonts w:cs="Tahoma"/>
        </w:rPr>
        <w:t>.</w:t>
      </w:r>
      <w:r>
        <w:rPr>
          <w:rFonts w:cs="Tahoma"/>
        </w:rPr>
        <w:t> </w:t>
      </w:r>
    </w:p>
    <w:p w:rsidR="002D7D2C" w:rsidRPr="008C296C" w:rsidRDefault="002D7D2C" w:rsidP="00DA42BC">
      <w:pPr>
        <w:pStyle w:val="Titre1"/>
      </w:pPr>
      <w:bookmarkStart w:id="28" w:name="_Toc341270873"/>
      <w:bookmarkStart w:id="29" w:name="_Toc401231650"/>
      <w:bookmarkStart w:id="30" w:name="_Toc403578765"/>
      <w:bookmarkStart w:id="31" w:name="_Toc468797907"/>
      <w:bookmarkStart w:id="32" w:name="_Toc468798599"/>
      <w:bookmarkStart w:id="33" w:name="_Toc468800085"/>
      <w:bookmarkStart w:id="34" w:name="_Toc499804625"/>
      <w:bookmarkStart w:id="35" w:name="_Toc341270869"/>
      <w:bookmarkStart w:id="36" w:name="_Toc401231646"/>
      <w:bookmarkStart w:id="37" w:name="_Toc403578761"/>
      <w:r w:rsidRPr="008C296C">
        <w:lastRenderedPageBreak/>
        <w:t>Projets susceptibles d’être retenus</w:t>
      </w:r>
      <w:bookmarkEnd w:id="28"/>
      <w:bookmarkEnd w:id="29"/>
      <w:bookmarkEnd w:id="30"/>
      <w:bookmarkEnd w:id="31"/>
      <w:bookmarkEnd w:id="32"/>
      <w:bookmarkEnd w:id="33"/>
      <w:bookmarkEnd w:id="34"/>
      <w:r w:rsidRPr="008C296C">
        <w:t xml:space="preserve"> </w:t>
      </w:r>
    </w:p>
    <w:p w:rsidR="002D7D2C" w:rsidRPr="008C296C" w:rsidRDefault="002D7D2C" w:rsidP="007C65BE">
      <w:r w:rsidRPr="008C296C">
        <w:t xml:space="preserve">Les projets doivent viser à répondre à une question </w:t>
      </w:r>
      <w:r w:rsidRPr="00C64CFC">
        <w:rPr>
          <w:rFonts w:cs="Tahoma"/>
        </w:rPr>
        <w:t xml:space="preserve">précise ou à démontrer une hypothèse et apporter in fine les éléments d’évaluation nécessaires. Ils doivent </w:t>
      </w:r>
      <w:r w:rsidR="00EA4E5D" w:rsidRPr="00C64CFC">
        <w:rPr>
          <w:rFonts w:cs="Tahoma"/>
        </w:rPr>
        <w:t xml:space="preserve">s’appuyer sur une analyse de la littérature et des expériences antérieures, </w:t>
      </w:r>
      <w:r w:rsidRPr="00C64CFC">
        <w:rPr>
          <w:rFonts w:cs="Tahoma"/>
        </w:rPr>
        <w:t>être structurés de façon</w:t>
      </w:r>
      <w:r w:rsidRPr="008C296C">
        <w:t xml:space="preserve"> rigoureuse quant à leur contexte, leur objectif, leur réalisation (action et calendrier), leur financement, leurs résultats attendus et l’évaluation de l’efficacité ou de l’impact de l’action ou de l’intervention proposée.</w:t>
      </w:r>
    </w:p>
    <w:p w:rsidR="002D7D2C" w:rsidRPr="008C296C" w:rsidRDefault="002D7D2C" w:rsidP="007C65BE"/>
    <w:p w:rsidR="002D7D2C" w:rsidRPr="008C296C" w:rsidRDefault="002D7D2C" w:rsidP="007C65BE">
      <w:r w:rsidRPr="008C296C">
        <w:t xml:space="preserve">Les modalités et moyens d’évaluation des projets doivent être décrits et les projets devront bénéficier d’indicateurs d’évaluation de processus et de résultats afin d’identifier les éléments de reproductibilité de l’action ou de l’étude proposée. </w:t>
      </w:r>
    </w:p>
    <w:p w:rsidR="002D7D2C" w:rsidRPr="008C296C" w:rsidRDefault="002D7D2C" w:rsidP="007C65BE"/>
    <w:p w:rsidR="002D7D2C" w:rsidRPr="008C296C" w:rsidRDefault="002D7D2C" w:rsidP="007C65BE">
      <w:r w:rsidRPr="008C296C">
        <w:t xml:space="preserve">Les projets locaux devront s’appuyer sur des stratégies comparatives, reproductibles, permettant d’envisager leur mise en place à un niveau national. </w:t>
      </w:r>
    </w:p>
    <w:p w:rsidR="002D7D2C" w:rsidRPr="008C296C" w:rsidRDefault="002D7D2C" w:rsidP="002D7D2C">
      <w:pPr>
        <w:rPr>
          <w:rFonts w:cs="Tahoma"/>
        </w:rPr>
      </w:pPr>
    </w:p>
    <w:p w:rsidR="002D7D2C" w:rsidRDefault="002D7D2C" w:rsidP="007C65BE">
      <w:r w:rsidRPr="008C296C">
        <w:t>Les projets dépistage doivent veiller à ne pas interférer avec les programmes nationaux de dépistage mis en place par les pouvoirs publics et les actions de communication qui les accompagnent.</w:t>
      </w:r>
    </w:p>
    <w:p w:rsidR="00BB7A1F" w:rsidRPr="008C296C" w:rsidRDefault="00BB7A1F" w:rsidP="00BB7A1F">
      <w:pPr>
        <w:rPr>
          <w:rFonts w:cs="Tahoma"/>
        </w:rPr>
      </w:pPr>
    </w:p>
    <w:p w:rsidR="00BB7A1F" w:rsidRDefault="00BB7A1F" w:rsidP="00BB7A1F">
      <w:pPr>
        <w:rPr>
          <w:rFonts w:cs="Tahoma"/>
          <w:b/>
          <w:u w:val="single"/>
        </w:rPr>
      </w:pPr>
      <w:r w:rsidRPr="001B5DB6">
        <w:rPr>
          <w:rFonts w:cs="Tahoma"/>
          <w:b/>
          <w:u w:val="single"/>
        </w:rPr>
        <w:t>Recommandation</w:t>
      </w:r>
      <w:r>
        <w:rPr>
          <w:rFonts w:cs="Tahoma"/>
          <w:b/>
          <w:u w:val="single"/>
        </w:rPr>
        <w:t>s</w:t>
      </w:r>
      <w:r w:rsidRPr="001B5DB6">
        <w:rPr>
          <w:rFonts w:cs="Tahoma"/>
          <w:b/>
          <w:u w:val="single"/>
        </w:rPr>
        <w:t> :</w:t>
      </w:r>
      <w:r>
        <w:rPr>
          <w:rFonts w:cs="Tahoma"/>
          <w:b/>
          <w:u w:val="single"/>
        </w:rPr>
        <w:t xml:space="preserve"> </w:t>
      </w:r>
    </w:p>
    <w:p w:rsidR="00BB7A1F" w:rsidRPr="008C296C" w:rsidRDefault="00BB7A1F" w:rsidP="00BB7A1F">
      <w:pPr>
        <w:numPr>
          <w:ilvl w:val="0"/>
          <w:numId w:val="5"/>
        </w:numPr>
        <w:autoSpaceDE w:val="0"/>
        <w:autoSpaceDN w:val="0"/>
        <w:adjustRightInd w:val="0"/>
        <w:rPr>
          <w:rFonts w:cs="Tahoma"/>
        </w:rPr>
      </w:pPr>
      <w:r w:rsidRPr="008C296C">
        <w:rPr>
          <w:rFonts w:cs="Tahoma"/>
        </w:rPr>
        <w:t>Le projet doit être expérimental et construit de sorte à apporter les éléments d’évaluation permettant de répondre à la question posée ou démontrer l’hypothèse testée, notamment quant à l’efficacité ou à l’impact de l’action ou de l’intervention proposée ;</w:t>
      </w:r>
    </w:p>
    <w:p w:rsidR="00BB7A1F" w:rsidRPr="008C296C" w:rsidRDefault="00BB7A1F" w:rsidP="00BB7A1F">
      <w:pPr>
        <w:pStyle w:val="Paragraphedeliste"/>
        <w:numPr>
          <w:ilvl w:val="0"/>
          <w:numId w:val="5"/>
        </w:numPr>
        <w:rPr>
          <w:rFonts w:cs="Tahoma"/>
        </w:rPr>
      </w:pPr>
      <w:r w:rsidRPr="008C296C">
        <w:rPr>
          <w:rFonts w:cs="Tahoma"/>
        </w:rPr>
        <w:t>Les ressources humaines/matérielles existantes et celles qui devront être financées par l’INCa doivent être spécifiées (coût total/ subvention demandée à l’INCa) ;</w:t>
      </w:r>
    </w:p>
    <w:p w:rsidR="00BB7A1F" w:rsidRPr="008C296C" w:rsidRDefault="00BB7A1F" w:rsidP="00BB7A1F">
      <w:pPr>
        <w:pStyle w:val="Paragraphedeliste"/>
        <w:numPr>
          <w:ilvl w:val="0"/>
          <w:numId w:val="5"/>
        </w:numPr>
        <w:rPr>
          <w:rFonts w:cs="Tahoma"/>
          <w:bCs/>
        </w:rPr>
      </w:pPr>
      <w:r w:rsidRPr="008C296C">
        <w:rPr>
          <w:rFonts w:cs="Tahoma"/>
          <w:bCs/>
        </w:rPr>
        <w:t>Les cofinancements sont souhaitables et doivent être précisés dans le dossier de cand</w:t>
      </w:r>
      <w:r w:rsidR="00580AC4">
        <w:rPr>
          <w:rFonts w:cs="Tahoma"/>
          <w:bCs/>
        </w:rPr>
        <w:t>idature et l’annexe budgétaire.</w:t>
      </w:r>
    </w:p>
    <w:p w:rsidR="00BB7A1F" w:rsidRPr="001B5DB6" w:rsidRDefault="00BB7A1F" w:rsidP="00BB7A1F">
      <w:pPr>
        <w:rPr>
          <w:rFonts w:cs="Tahoma"/>
          <w:b/>
          <w:u w:val="single"/>
        </w:rPr>
      </w:pPr>
    </w:p>
    <w:p w:rsidR="00BB7A1F" w:rsidRPr="00894DF3" w:rsidRDefault="00BB7A1F" w:rsidP="00BB7A1F">
      <w:pPr>
        <w:spacing w:line="240" w:lineRule="auto"/>
        <w:rPr>
          <w:rFonts w:cs="Tahoma"/>
          <w:b/>
          <w:u w:val="single"/>
        </w:rPr>
      </w:pPr>
      <w:r w:rsidRPr="008C296C">
        <w:rPr>
          <w:rFonts w:cs="Tahoma"/>
          <w:b/>
          <w:u w:val="single"/>
        </w:rPr>
        <w:t>Attention </w:t>
      </w:r>
      <w:r w:rsidRPr="008C296C">
        <w:rPr>
          <w:rFonts w:cs="Tahoma"/>
          <w:b/>
        </w:rPr>
        <w:t xml:space="preserve">: </w:t>
      </w:r>
    </w:p>
    <w:p w:rsidR="00BB7A1F" w:rsidRPr="008C296C" w:rsidRDefault="00BB7A1F" w:rsidP="00BB7A1F">
      <w:pPr>
        <w:rPr>
          <w:rFonts w:cs="Tahoma"/>
        </w:rPr>
      </w:pPr>
    </w:p>
    <w:p w:rsidR="00B518B4" w:rsidRPr="00B518B4" w:rsidRDefault="00B518B4" w:rsidP="00B518B4">
      <w:pPr>
        <w:pStyle w:val="Paragraphedeliste"/>
        <w:numPr>
          <w:ilvl w:val="0"/>
          <w:numId w:val="10"/>
        </w:numPr>
        <w:rPr>
          <w:b/>
          <w:bCs/>
        </w:rPr>
      </w:pPr>
      <w:r w:rsidRPr="00B518B4">
        <w:t>Ne sont pas éligibles à cet appel les projets de recherche fondamentale, de recherche clinique et de recherche translationnelle.</w:t>
      </w:r>
    </w:p>
    <w:p w:rsidR="00CC7BAA" w:rsidRPr="000A0BBE" w:rsidRDefault="00CC7BAA" w:rsidP="00105A80">
      <w:pPr>
        <w:pStyle w:val="Paragraphedeliste"/>
        <w:numPr>
          <w:ilvl w:val="0"/>
          <w:numId w:val="10"/>
        </w:numPr>
        <w:rPr>
          <w:rFonts w:cs="Tahoma"/>
        </w:rPr>
      </w:pPr>
      <w:r w:rsidRPr="000A0BBE">
        <w:rPr>
          <w:rFonts w:cs="Tahoma"/>
        </w:rPr>
        <w:t xml:space="preserve">Les projets de recherche en sciences humaines et sociales, épidémiologie et santé publique ne sont pas éligibles à cet appel. </w:t>
      </w:r>
      <w:r w:rsidR="004A17B9" w:rsidRPr="000A0BBE">
        <w:rPr>
          <w:rFonts w:cs="Tahoma"/>
        </w:rPr>
        <w:t xml:space="preserve">Ils </w:t>
      </w:r>
      <w:r w:rsidR="00FF1781">
        <w:rPr>
          <w:rFonts w:cs="Tahoma"/>
        </w:rPr>
        <w:t>relèvent de</w:t>
      </w:r>
      <w:r w:rsidR="004A17B9" w:rsidRPr="000A0BBE">
        <w:rPr>
          <w:rFonts w:cs="Tahoma"/>
        </w:rPr>
        <w:t xml:space="preserve"> l’</w:t>
      </w:r>
      <w:r w:rsidRPr="000A0BBE">
        <w:rPr>
          <w:rFonts w:cs="Tahoma"/>
        </w:rPr>
        <w:t>appel à projets</w:t>
      </w:r>
      <w:r w:rsidR="00D579F1" w:rsidRPr="000A0BBE">
        <w:rPr>
          <w:rFonts w:cs="Tahoma"/>
        </w:rPr>
        <w:t xml:space="preserve"> libres</w:t>
      </w:r>
      <w:r w:rsidR="004A17B9" w:rsidRPr="000A0BBE">
        <w:rPr>
          <w:rFonts w:cs="Tahoma"/>
        </w:rPr>
        <w:t xml:space="preserve"> « recherche en sciences humaines et sociales, épidémiologie et santé publique »</w:t>
      </w:r>
      <w:r w:rsidRPr="000A0BBE">
        <w:rPr>
          <w:rFonts w:cs="Tahoma"/>
        </w:rPr>
        <w:t>.</w:t>
      </w:r>
    </w:p>
    <w:p w:rsidR="002D7D2C" w:rsidRDefault="002D7D2C" w:rsidP="00105A80">
      <w:pPr>
        <w:pStyle w:val="Paragraphedeliste"/>
        <w:numPr>
          <w:ilvl w:val="0"/>
          <w:numId w:val="10"/>
        </w:numPr>
        <w:rPr>
          <w:rStyle w:val="Lienhypertexte"/>
          <w:rFonts w:ascii="Calibri" w:hAnsi="Calibri" w:cs="Tahoma"/>
          <w:color w:val="auto"/>
          <w:sz w:val="22"/>
          <w:szCs w:val="22"/>
        </w:rPr>
      </w:pPr>
      <w:r w:rsidRPr="000A0BBE">
        <w:rPr>
          <w:rStyle w:val="Lienhypertexte"/>
          <w:rFonts w:ascii="Calibri" w:hAnsi="Calibri" w:cs="Tahoma"/>
          <w:color w:val="auto"/>
          <w:sz w:val="22"/>
          <w:szCs w:val="22"/>
        </w:rPr>
        <w:t>les projets de recherche interventionnelle devront être présentés à l’appel à projets « Recherche Interventionnelle en Santé des popula</w:t>
      </w:r>
      <w:r w:rsidR="00580AC4">
        <w:rPr>
          <w:rStyle w:val="Lienhypertexte"/>
          <w:rFonts w:ascii="Calibri" w:hAnsi="Calibri" w:cs="Tahoma"/>
          <w:color w:val="auto"/>
          <w:sz w:val="22"/>
          <w:szCs w:val="22"/>
        </w:rPr>
        <w:t>tions » que l’INCa lancera</w:t>
      </w:r>
      <w:r w:rsidRPr="000A0BBE">
        <w:rPr>
          <w:rStyle w:val="Lienhypertexte"/>
          <w:rFonts w:ascii="Calibri" w:hAnsi="Calibri" w:cs="Tahoma"/>
          <w:color w:val="auto"/>
          <w:sz w:val="22"/>
          <w:szCs w:val="22"/>
        </w:rPr>
        <w:t xml:space="preserve"> au premier semestre </w:t>
      </w:r>
      <w:r w:rsidR="009F2CB9">
        <w:rPr>
          <w:rStyle w:val="Lienhypertexte"/>
          <w:rFonts w:ascii="Calibri" w:hAnsi="Calibri" w:cs="Tahoma"/>
          <w:color w:val="auto"/>
          <w:sz w:val="22"/>
          <w:szCs w:val="22"/>
        </w:rPr>
        <w:t>2018</w:t>
      </w:r>
    </w:p>
    <w:p w:rsidR="00BF7C18" w:rsidRDefault="00BF7C18">
      <w:pPr>
        <w:jc w:val="left"/>
        <w:rPr>
          <w:rStyle w:val="Lienhypertexte"/>
          <w:rFonts w:ascii="Calibri" w:hAnsi="Calibri" w:cs="Tahoma"/>
          <w:color w:val="auto"/>
          <w:sz w:val="22"/>
          <w:szCs w:val="22"/>
        </w:rPr>
      </w:pPr>
      <w:r>
        <w:rPr>
          <w:rStyle w:val="Lienhypertexte"/>
          <w:rFonts w:ascii="Calibri" w:hAnsi="Calibri" w:cs="Tahoma"/>
          <w:color w:val="auto"/>
          <w:sz w:val="22"/>
          <w:szCs w:val="22"/>
        </w:rPr>
        <w:br w:type="page"/>
      </w:r>
    </w:p>
    <w:p w:rsidR="0028312E" w:rsidRPr="008C296C" w:rsidRDefault="0028312E" w:rsidP="00DA42BC">
      <w:pPr>
        <w:pStyle w:val="Titre1"/>
      </w:pPr>
      <w:bookmarkStart w:id="38" w:name="_Toc468797908"/>
      <w:bookmarkStart w:id="39" w:name="_Toc468798600"/>
      <w:bookmarkStart w:id="40" w:name="_Toc468800086"/>
      <w:bookmarkStart w:id="41" w:name="_Toc499804626"/>
      <w:r w:rsidRPr="008C296C">
        <w:lastRenderedPageBreak/>
        <w:t>Modalités de participation</w:t>
      </w:r>
      <w:bookmarkEnd w:id="35"/>
      <w:bookmarkEnd w:id="36"/>
      <w:bookmarkEnd w:id="37"/>
      <w:bookmarkEnd w:id="38"/>
      <w:bookmarkEnd w:id="39"/>
      <w:bookmarkEnd w:id="40"/>
      <w:bookmarkEnd w:id="41"/>
    </w:p>
    <w:p w:rsidR="0028312E" w:rsidRPr="008C296C" w:rsidRDefault="0028312E" w:rsidP="004B6EB6">
      <w:pPr>
        <w:pStyle w:val="Titre2"/>
      </w:pPr>
      <w:bookmarkStart w:id="42" w:name="_Toc341270870"/>
      <w:bookmarkStart w:id="43" w:name="_Toc401231647"/>
      <w:bookmarkStart w:id="44" w:name="_Toc403578762"/>
      <w:bookmarkStart w:id="45" w:name="_Toc468797909"/>
      <w:bookmarkStart w:id="46" w:name="_Toc468798601"/>
      <w:bookmarkStart w:id="47" w:name="_Toc468800087"/>
      <w:bookmarkStart w:id="48" w:name="_Toc499804627"/>
      <w:r w:rsidRPr="008C296C">
        <w:t>Durée des projets</w:t>
      </w:r>
      <w:bookmarkEnd w:id="42"/>
      <w:bookmarkEnd w:id="43"/>
      <w:bookmarkEnd w:id="44"/>
      <w:bookmarkEnd w:id="45"/>
      <w:bookmarkEnd w:id="46"/>
      <w:bookmarkEnd w:id="47"/>
      <w:bookmarkEnd w:id="48"/>
    </w:p>
    <w:p w:rsidR="0028312E" w:rsidRDefault="0028312E" w:rsidP="005F7BAD">
      <w:pPr>
        <w:rPr>
          <w:rFonts w:cs="Tahoma"/>
          <w:bCs/>
        </w:rPr>
      </w:pPr>
      <w:r w:rsidRPr="008C296C">
        <w:rPr>
          <w:rFonts w:cs="Tahoma"/>
          <w:bCs/>
        </w:rPr>
        <w:t>Les projets peuvent avoir une durée de 12</w:t>
      </w:r>
      <w:r w:rsidR="00CD4429" w:rsidRPr="008C296C">
        <w:rPr>
          <w:rFonts w:cs="Tahoma"/>
          <w:bCs/>
        </w:rPr>
        <w:t>,</w:t>
      </w:r>
      <w:r w:rsidRPr="008C296C">
        <w:rPr>
          <w:rFonts w:cs="Tahoma"/>
          <w:bCs/>
        </w:rPr>
        <w:t xml:space="preserve"> 24</w:t>
      </w:r>
      <w:r w:rsidR="00CD4429" w:rsidRPr="008C296C">
        <w:rPr>
          <w:rFonts w:cs="Tahoma"/>
          <w:bCs/>
        </w:rPr>
        <w:t xml:space="preserve">, ou 36 </w:t>
      </w:r>
      <w:r w:rsidRPr="008C296C">
        <w:rPr>
          <w:rFonts w:cs="Tahoma"/>
          <w:bCs/>
        </w:rPr>
        <w:t xml:space="preserve">mois. </w:t>
      </w:r>
    </w:p>
    <w:p w:rsidR="000318F2" w:rsidRPr="008C296C" w:rsidRDefault="000318F2" w:rsidP="005F7BAD">
      <w:pPr>
        <w:rPr>
          <w:rFonts w:cs="Tahoma"/>
          <w:bCs/>
        </w:rPr>
      </w:pPr>
    </w:p>
    <w:p w:rsidR="0028312E" w:rsidRPr="008C296C" w:rsidRDefault="007E6853" w:rsidP="004B6EB6">
      <w:pPr>
        <w:pStyle w:val="Titre2"/>
      </w:pPr>
      <w:bookmarkStart w:id="49" w:name="_Toc341270871"/>
      <w:bookmarkStart w:id="50" w:name="_Toc401231648"/>
      <w:bookmarkStart w:id="51" w:name="_Toc403578763"/>
      <w:bookmarkStart w:id="52" w:name="_Toc468797910"/>
      <w:bookmarkStart w:id="53" w:name="_Toc468798602"/>
      <w:bookmarkStart w:id="54" w:name="_Toc468800088"/>
      <w:bookmarkStart w:id="55" w:name="_Toc499804628"/>
      <w:r w:rsidRPr="008C296C">
        <w:t>Structures</w:t>
      </w:r>
      <w:r w:rsidR="0028312E" w:rsidRPr="008C296C">
        <w:t xml:space="preserve"> concernées</w:t>
      </w:r>
      <w:r w:rsidR="000F60AE" w:rsidRPr="008C296C">
        <w:t xml:space="preserve"> et bénéficiaires de la subvention</w:t>
      </w:r>
      <w:bookmarkEnd w:id="49"/>
      <w:bookmarkEnd w:id="50"/>
      <w:bookmarkEnd w:id="51"/>
      <w:bookmarkEnd w:id="52"/>
      <w:bookmarkEnd w:id="53"/>
      <w:bookmarkEnd w:id="54"/>
      <w:bookmarkEnd w:id="55"/>
      <w:r w:rsidRPr="008C296C">
        <w:t> </w:t>
      </w:r>
    </w:p>
    <w:p w:rsidR="00C97EC4" w:rsidRPr="008C296C" w:rsidRDefault="0028312E" w:rsidP="005C11B0">
      <w:pPr>
        <w:rPr>
          <w:rFonts w:cs="Tahoma"/>
          <w:i/>
          <w:iCs/>
        </w:rPr>
      </w:pPr>
      <w:r w:rsidRPr="008C296C">
        <w:rPr>
          <w:rFonts w:cs="Tahoma"/>
        </w:rPr>
        <w:t>Cet appel à projets s’adresse à l’ensemble des organismes publics ou privés à but non lucratif œuvrant dans les domaines de la santé en particulier de la préventi</w:t>
      </w:r>
      <w:r w:rsidR="00C97EC4" w:rsidRPr="008C296C">
        <w:rPr>
          <w:rFonts w:cs="Tahoma"/>
        </w:rPr>
        <w:t>on et du dépistage des cancers ou ayant un service dédié à ces domaines.</w:t>
      </w:r>
      <w:r w:rsidR="00C97EC4" w:rsidRPr="008C296C">
        <w:rPr>
          <w:rFonts w:cs="Tahoma"/>
          <w:i/>
          <w:iCs/>
        </w:rPr>
        <w:t xml:space="preserve"> </w:t>
      </w:r>
    </w:p>
    <w:p w:rsidR="00C97EC4" w:rsidRDefault="00C97EC4" w:rsidP="005C11B0">
      <w:pPr>
        <w:rPr>
          <w:rFonts w:cs="Tahoma"/>
        </w:rPr>
      </w:pPr>
      <w:r w:rsidRPr="008C296C">
        <w:rPr>
          <w:rFonts w:cs="Tahoma"/>
        </w:rPr>
        <w:t>Les collectivités territoriales et les agences régionales de santé (ARS) ne sont pas éligibles, sauf lorsqu’elles présentent un projet émanant d’un atelier santé ville (ASV)</w:t>
      </w:r>
      <w:r w:rsidR="002E1E7D" w:rsidRPr="008C296C">
        <w:rPr>
          <w:rFonts w:cs="Tahoma"/>
        </w:rPr>
        <w:t xml:space="preserve"> ou d’un</w:t>
      </w:r>
      <w:r w:rsidR="00F1535F">
        <w:rPr>
          <w:rFonts w:cs="Tahoma"/>
        </w:rPr>
        <w:t>e structure de gestion ou tout</w:t>
      </w:r>
      <w:r w:rsidR="009C405C" w:rsidRPr="008C296C">
        <w:rPr>
          <w:rFonts w:cs="Tahoma"/>
        </w:rPr>
        <w:t xml:space="preserve"> organisme </w:t>
      </w:r>
      <w:r w:rsidR="002E1E7D" w:rsidRPr="008C296C">
        <w:rPr>
          <w:rFonts w:cs="Tahoma"/>
        </w:rPr>
        <w:t xml:space="preserve">œuvrant dans le champ </w:t>
      </w:r>
      <w:r w:rsidR="005F55FF" w:rsidRPr="008C296C">
        <w:rPr>
          <w:rFonts w:cs="Tahoma"/>
        </w:rPr>
        <w:t xml:space="preserve">de la prévention et/ou </w:t>
      </w:r>
      <w:r w:rsidR="002E1E7D" w:rsidRPr="008C296C">
        <w:rPr>
          <w:rFonts w:cs="Tahoma"/>
        </w:rPr>
        <w:t xml:space="preserve">du </w:t>
      </w:r>
      <w:r w:rsidR="00CD3F52" w:rsidRPr="008C296C">
        <w:rPr>
          <w:rFonts w:cs="Tahoma"/>
        </w:rPr>
        <w:t>dépistage</w:t>
      </w:r>
      <w:r w:rsidR="005F55FF" w:rsidRPr="008C296C">
        <w:rPr>
          <w:rFonts w:cs="Tahoma"/>
        </w:rPr>
        <w:t>.</w:t>
      </w:r>
    </w:p>
    <w:p w:rsidR="0078118D" w:rsidRDefault="0078118D" w:rsidP="005C11B0">
      <w:pPr>
        <w:rPr>
          <w:rFonts w:cs="Tahoma"/>
        </w:rPr>
      </w:pPr>
    </w:p>
    <w:p w:rsidR="0078118D" w:rsidRPr="00EF2CBC" w:rsidRDefault="0078118D" w:rsidP="007C65BE">
      <w:r w:rsidRPr="00EF2CBC">
        <w:rPr>
          <w:b/>
          <w:u w:val="single"/>
        </w:rPr>
        <w:t>Attention :</w:t>
      </w:r>
      <w:r w:rsidRPr="00EF2CBC">
        <w:t xml:space="preserve"> Dans le cas d’un projet impliquant un partenariat entre plusieurs entités, les organismes participant au projet déposeront un seul dossier et désigneront un coordinateur de projet unique ainsi qu’un seul organisme bénéficiaire de la subvention INCa. L’organisme bénéficiaire désigné, qui sera signataire de la convention, devra impérativement être doté d’un comptable public.</w:t>
      </w:r>
    </w:p>
    <w:p w:rsidR="0078118D" w:rsidRDefault="0078118D" w:rsidP="007C65BE">
      <w:r w:rsidRPr="001240BD">
        <w:t>L’organisme bénéficiaire est responsable devant l’INCa de la mise en œuvre du projet, de la transmission de l’ensemble des rapports scientifiques et financiers, et du reversement des fonds aux équipes participantes.</w:t>
      </w:r>
    </w:p>
    <w:p w:rsidR="009C264E" w:rsidRPr="001240BD" w:rsidRDefault="009C264E" w:rsidP="00C64CFC">
      <w:pPr>
        <w:pStyle w:val="Titre2"/>
        <w:ind w:left="1284"/>
      </w:pPr>
      <w:bookmarkStart w:id="56" w:name="_Toc367980622"/>
      <w:bookmarkStart w:id="57" w:name="_Toc433371078"/>
      <w:bookmarkStart w:id="58" w:name="_Toc468797911"/>
      <w:bookmarkStart w:id="59" w:name="_Toc468798603"/>
      <w:bookmarkStart w:id="60" w:name="_Toc468800089"/>
      <w:bookmarkStart w:id="61" w:name="_Toc499804629"/>
      <w:r w:rsidRPr="001240BD">
        <w:t xml:space="preserve">Équipes </w:t>
      </w:r>
      <w:r w:rsidR="001477BC" w:rsidRPr="001240BD">
        <w:t xml:space="preserve">partenaires </w:t>
      </w:r>
      <w:r w:rsidRPr="001240BD">
        <w:t>éligibles</w:t>
      </w:r>
      <w:bookmarkEnd w:id="56"/>
      <w:bookmarkEnd w:id="57"/>
      <w:bookmarkEnd w:id="58"/>
      <w:bookmarkEnd w:id="59"/>
      <w:bookmarkEnd w:id="60"/>
      <w:bookmarkEnd w:id="61"/>
    </w:p>
    <w:p w:rsidR="009C264E" w:rsidRPr="001240BD" w:rsidRDefault="009C264E" w:rsidP="009C264E">
      <w:pPr>
        <w:pStyle w:val="Default"/>
        <w:jc w:val="both"/>
        <w:rPr>
          <w:rFonts w:ascii="Calibri" w:hAnsi="Calibri"/>
          <w:sz w:val="22"/>
        </w:rPr>
      </w:pPr>
      <w:r w:rsidRPr="001240BD">
        <w:rPr>
          <w:rFonts w:ascii="Calibri" w:hAnsi="Calibri"/>
          <w:b/>
          <w:bCs/>
          <w:sz w:val="22"/>
        </w:rPr>
        <w:t>Origine des équipes</w:t>
      </w:r>
      <w:r w:rsidR="001477BC" w:rsidRPr="001240BD">
        <w:rPr>
          <w:rFonts w:ascii="Calibri" w:hAnsi="Calibri"/>
          <w:b/>
          <w:bCs/>
          <w:sz w:val="22"/>
        </w:rPr>
        <w:t xml:space="preserve"> partenaires</w:t>
      </w:r>
      <w:r w:rsidRPr="001240BD">
        <w:rPr>
          <w:rFonts w:ascii="Calibri" w:hAnsi="Calibri"/>
          <w:b/>
          <w:bCs/>
          <w:sz w:val="22"/>
        </w:rPr>
        <w:t xml:space="preserve"> - </w:t>
      </w:r>
      <w:r w:rsidRPr="001240BD">
        <w:rPr>
          <w:rFonts w:ascii="Calibri" w:hAnsi="Calibri"/>
          <w:sz w:val="22"/>
        </w:rPr>
        <w:t xml:space="preserve">Les équipes </w:t>
      </w:r>
      <w:r w:rsidR="001240BD" w:rsidRPr="001240BD">
        <w:rPr>
          <w:rFonts w:ascii="Calibri" w:hAnsi="Calibri"/>
          <w:sz w:val="22"/>
        </w:rPr>
        <w:t xml:space="preserve">partenaires </w:t>
      </w:r>
      <w:r w:rsidRPr="001240BD">
        <w:rPr>
          <w:rFonts w:ascii="Calibri" w:hAnsi="Calibri"/>
          <w:sz w:val="22"/>
        </w:rPr>
        <w:t>appartiennent aux organismes suivants :</w:t>
      </w:r>
    </w:p>
    <w:p w:rsidR="009C264E" w:rsidRPr="001240BD" w:rsidRDefault="009C264E" w:rsidP="00105A80">
      <w:pPr>
        <w:pStyle w:val="Paragraphedeliste"/>
        <w:numPr>
          <w:ilvl w:val="0"/>
          <w:numId w:val="15"/>
        </w:numPr>
        <w:autoSpaceDE w:val="0"/>
        <w:autoSpaceDN w:val="0"/>
        <w:adjustRightInd w:val="0"/>
        <w:ind w:left="714" w:hanging="357"/>
        <w:rPr>
          <w:rFonts w:cs="Tahoma"/>
        </w:rPr>
      </w:pPr>
      <w:r w:rsidRPr="001240BD">
        <w:rPr>
          <w:rFonts w:cs="Tahoma"/>
        </w:rPr>
        <w:t>organismes publics (université, EPST, EPIC, ….),</w:t>
      </w:r>
    </w:p>
    <w:p w:rsidR="009C264E" w:rsidRPr="001240BD" w:rsidRDefault="009C264E" w:rsidP="00105A80">
      <w:pPr>
        <w:pStyle w:val="Paragraphedeliste"/>
        <w:numPr>
          <w:ilvl w:val="0"/>
          <w:numId w:val="15"/>
        </w:numPr>
        <w:autoSpaceDE w:val="0"/>
        <w:autoSpaceDN w:val="0"/>
        <w:adjustRightInd w:val="0"/>
        <w:ind w:left="714" w:hanging="357"/>
        <w:rPr>
          <w:rFonts w:cs="Tahoma"/>
        </w:rPr>
      </w:pPr>
      <w:r w:rsidRPr="001240BD">
        <w:rPr>
          <w:rFonts w:cs="Tahoma"/>
        </w:rPr>
        <w:t>organisations à but non lucratif (associations, fondations, ...),</w:t>
      </w:r>
    </w:p>
    <w:p w:rsidR="009C264E" w:rsidRPr="001240BD" w:rsidRDefault="009C264E" w:rsidP="00105A80">
      <w:pPr>
        <w:pStyle w:val="Paragraphedeliste"/>
        <w:numPr>
          <w:ilvl w:val="0"/>
          <w:numId w:val="15"/>
        </w:numPr>
        <w:autoSpaceDE w:val="0"/>
        <w:autoSpaceDN w:val="0"/>
        <w:adjustRightInd w:val="0"/>
        <w:ind w:left="714" w:hanging="357"/>
        <w:rPr>
          <w:rFonts w:cs="Tahoma"/>
        </w:rPr>
      </w:pPr>
      <w:r w:rsidRPr="001240BD">
        <w:rPr>
          <w:rFonts w:cs="Tahoma"/>
        </w:rPr>
        <w:t>établissements de santé (CHU, CRLCC, CH, privés à but lucratif ou non).</w:t>
      </w:r>
    </w:p>
    <w:p w:rsidR="009C264E" w:rsidRPr="001240BD" w:rsidRDefault="009C264E" w:rsidP="009C264E">
      <w:pPr>
        <w:pStyle w:val="Default"/>
        <w:jc w:val="both"/>
        <w:rPr>
          <w:rFonts w:ascii="Calibri" w:hAnsi="Calibri"/>
          <w:sz w:val="22"/>
        </w:rPr>
      </w:pPr>
    </w:p>
    <w:p w:rsidR="009C264E" w:rsidRPr="00AD298E" w:rsidRDefault="009C264E" w:rsidP="007C65BE">
      <w:r w:rsidRPr="001240BD">
        <w:t xml:space="preserve">La participation d’équipes </w:t>
      </w:r>
      <w:r w:rsidR="001240BD" w:rsidRPr="001240BD">
        <w:t xml:space="preserve">partenaires </w:t>
      </w:r>
      <w:r w:rsidRPr="001240BD">
        <w:t>étrangères est possible dans la mesure où ceux-ci assurent leur propre financement dans le projet. Toutefois, ne seront pas éligibles les projets menés en totalité à l’étranger et/ou n’entraînant pas de retombée pour la santé publique en France.</w:t>
      </w:r>
    </w:p>
    <w:p w:rsidR="0028312E" w:rsidRPr="008C296C" w:rsidRDefault="003E25D7" w:rsidP="004B6EB6">
      <w:pPr>
        <w:pStyle w:val="Titre2"/>
      </w:pPr>
      <w:bookmarkStart w:id="62" w:name="_Toc341270872"/>
      <w:bookmarkStart w:id="63" w:name="_Toc401231649"/>
      <w:bookmarkStart w:id="64" w:name="_Toc403578764"/>
      <w:bookmarkStart w:id="65" w:name="_Toc468797912"/>
      <w:bookmarkStart w:id="66" w:name="_Toc468798604"/>
      <w:bookmarkStart w:id="67" w:name="_Toc468800090"/>
      <w:bookmarkStart w:id="68" w:name="_Toc499804630"/>
      <w:r w:rsidRPr="008C296C">
        <w:t>Coordin</w:t>
      </w:r>
      <w:r w:rsidR="0028312E" w:rsidRPr="008C296C">
        <w:t>ateur du projet</w:t>
      </w:r>
      <w:bookmarkEnd w:id="62"/>
      <w:bookmarkEnd w:id="63"/>
      <w:bookmarkEnd w:id="64"/>
      <w:bookmarkEnd w:id="65"/>
      <w:bookmarkEnd w:id="66"/>
      <w:bookmarkEnd w:id="67"/>
      <w:bookmarkEnd w:id="68"/>
    </w:p>
    <w:p w:rsidR="0028312E" w:rsidRDefault="0028312E" w:rsidP="005C11B0">
      <w:pPr>
        <w:rPr>
          <w:rFonts w:cs="Tahoma"/>
        </w:rPr>
      </w:pPr>
      <w:r w:rsidRPr="008C296C">
        <w:rPr>
          <w:rFonts w:cs="Tahoma"/>
        </w:rPr>
        <w:t>Il sera responsable de la mise en place des modalités liées au projet, de la production des documents requis et de la communication des résultats</w:t>
      </w:r>
      <w:r w:rsidR="003F58D6" w:rsidRPr="008C296C">
        <w:rPr>
          <w:rFonts w:cs="Tahoma"/>
        </w:rPr>
        <w:t>.</w:t>
      </w:r>
    </w:p>
    <w:p w:rsidR="00FA70B5" w:rsidRPr="00EB062D" w:rsidRDefault="00FA70B5" w:rsidP="00FA70B5">
      <w:pPr>
        <w:spacing w:before="120"/>
        <w:rPr>
          <w:rFonts w:asciiTheme="minorHAnsi" w:hAnsiTheme="minorHAnsi" w:cs="Tahoma"/>
        </w:rPr>
      </w:pPr>
      <w:r w:rsidRPr="00EB062D">
        <w:rPr>
          <w:rFonts w:asciiTheme="minorHAnsi" w:hAnsiTheme="minorHAnsi" w:cs="Tahoma"/>
        </w:rPr>
        <w:t xml:space="preserve">En raison de l'investissement personnel nécessaire pour faire aboutir un projet, le coordonnateur s’engage à consacrer au minimum 30% de son temps au projet et ne peut assurer la coordination simultanée de plus de 3 projets financés par l’INCa. </w:t>
      </w:r>
    </w:p>
    <w:p w:rsidR="00FA70B5" w:rsidRPr="008C296C" w:rsidRDefault="00FA70B5" w:rsidP="005C11B0">
      <w:pPr>
        <w:rPr>
          <w:rFonts w:cs="Tahoma"/>
        </w:rPr>
      </w:pPr>
    </w:p>
    <w:p w:rsidR="00BF7C18" w:rsidRDefault="003E25D7" w:rsidP="005C11B0">
      <w:pPr>
        <w:rPr>
          <w:rFonts w:cs="Tahoma"/>
        </w:rPr>
      </w:pPr>
      <w:r w:rsidRPr="008C296C">
        <w:rPr>
          <w:rFonts w:cs="Tahoma"/>
        </w:rPr>
        <w:t>Le coordin</w:t>
      </w:r>
      <w:r w:rsidR="003F58D6" w:rsidRPr="008C296C">
        <w:rPr>
          <w:rFonts w:cs="Tahoma"/>
        </w:rPr>
        <w:t>ateur du projet ne pourra pas êt</w:t>
      </w:r>
      <w:r w:rsidR="00E01A32" w:rsidRPr="008C296C">
        <w:rPr>
          <w:rFonts w:cs="Tahoma"/>
        </w:rPr>
        <w:t>re membre du comité d’évaluation</w:t>
      </w:r>
      <w:r w:rsidR="003F58D6" w:rsidRPr="008C296C">
        <w:rPr>
          <w:rFonts w:cs="Tahoma"/>
        </w:rPr>
        <w:t xml:space="preserve"> de cet appel à projets.</w:t>
      </w:r>
      <w:r w:rsidRPr="008C296C">
        <w:rPr>
          <w:rFonts w:cs="Tahoma"/>
        </w:rPr>
        <w:t xml:space="preserve"> </w:t>
      </w:r>
    </w:p>
    <w:p w:rsidR="00BF7C18" w:rsidRDefault="00BF7C18">
      <w:pPr>
        <w:jc w:val="left"/>
        <w:rPr>
          <w:rFonts w:cs="Tahoma"/>
        </w:rPr>
      </w:pPr>
      <w:r>
        <w:rPr>
          <w:rFonts w:cs="Tahoma"/>
        </w:rPr>
        <w:br w:type="page"/>
      </w:r>
    </w:p>
    <w:p w:rsidR="00B65841" w:rsidRPr="008C296C" w:rsidRDefault="00B05992" w:rsidP="00DA42BC">
      <w:pPr>
        <w:pStyle w:val="Titre1"/>
      </w:pPr>
      <w:bookmarkStart w:id="69" w:name="_Toc341270874"/>
      <w:bookmarkStart w:id="70" w:name="_Toc401231651"/>
      <w:bookmarkStart w:id="71" w:name="_Toc403578766"/>
      <w:bookmarkStart w:id="72" w:name="_Toc468797913"/>
      <w:bookmarkStart w:id="73" w:name="_Toc468798605"/>
      <w:bookmarkStart w:id="74" w:name="_Toc468800091"/>
      <w:bookmarkStart w:id="75" w:name="_Toc499804631"/>
      <w:r w:rsidRPr="008C296C">
        <w:lastRenderedPageBreak/>
        <w:t>Proce</w:t>
      </w:r>
      <w:r w:rsidR="003D4F4F" w:rsidRPr="008C296C">
        <w:t xml:space="preserve">ssus </w:t>
      </w:r>
      <w:r w:rsidR="001A034B" w:rsidRPr="008C296C">
        <w:t>de sélection des projets</w:t>
      </w:r>
      <w:bookmarkEnd w:id="69"/>
      <w:bookmarkEnd w:id="70"/>
      <w:bookmarkEnd w:id="71"/>
      <w:bookmarkEnd w:id="72"/>
      <w:bookmarkEnd w:id="73"/>
      <w:bookmarkEnd w:id="74"/>
      <w:bookmarkEnd w:id="75"/>
      <w:r w:rsidR="001A034B" w:rsidRPr="008C296C">
        <w:t> </w:t>
      </w:r>
    </w:p>
    <w:p w:rsidR="00BE6784" w:rsidRPr="00BE6784" w:rsidRDefault="00BE6784" w:rsidP="007C65BE">
      <w:r w:rsidRPr="00BE6784">
        <w:t>Pour mener à bien l’évaluation, l’INCa s’appuie sur un comité d’évaluation (CE) dont les membres, reconnus pour leur expertise, sont rapporteurs des projets soumis.</w:t>
      </w:r>
    </w:p>
    <w:p w:rsidR="001B09AE" w:rsidRPr="001B09AE" w:rsidRDefault="001B09AE" w:rsidP="001B09AE">
      <w:r w:rsidRPr="001B09AE">
        <w:t>Les rapporteurs et les évaluateurs externes s’engagent à respecter les dispositions du code de déontologie de l’Institut (</w:t>
      </w:r>
      <w:hyperlink r:id="rId13" w:history="1">
        <w:r w:rsidR="00DA42BC" w:rsidRPr="00971E2D">
          <w:rPr>
            <w:rStyle w:val="Lienhypertexte"/>
            <w:rFonts w:ascii="Calibri" w:hAnsi="Calibri"/>
            <w:sz w:val="22"/>
            <w:szCs w:val="22"/>
          </w:rPr>
          <w:t>http://www.e-cancer.fr/Institut-national-du-cancer/Deontologie-et-transparence-DPI/Prevention-et-gestion-des-conflits-d-interet/Deontologie-a-l-Institut</w:t>
        </w:r>
      </w:hyperlink>
      <w:r w:rsidRPr="001B09AE">
        <w:t xml:space="preserve">).  </w:t>
      </w:r>
    </w:p>
    <w:p w:rsidR="001B09AE" w:rsidRPr="001B09AE" w:rsidRDefault="001B09AE" w:rsidP="001B09AE">
      <w:r w:rsidRPr="001B09AE">
        <w:t>Les rapporteurs doivent déclarer leurs liens directs ou indirects, avec chaque projet soumis au comité d’évaluation, avec le coordonnateur  d’un projet ou un membre de l’équipe d’un projet.</w:t>
      </w:r>
    </w:p>
    <w:p w:rsidR="001B09AE" w:rsidRPr="001B09AE" w:rsidRDefault="001B09AE" w:rsidP="001B09AE">
      <w:r w:rsidRPr="001B09AE">
        <w:t>Les évaluateurs externes renseignent une déclaration d’absence de conflits d’intérêts direct ou indirect avec le projet à évaluer.</w:t>
      </w:r>
    </w:p>
    <w:p w:rsidR="00BE6784" w:rsidRDefault="00BE6784" w:rsidP="00A24897"/>
    <w:p w:rsidR="00BE6784" w:rsidRDefault="00BE6784" w:rsidP="007C65BE">
      <w:r>
        <w:t xml:space="preserve">La composition </w:t>
      </w:r>
      <w:proofErr w:type="gramStart"/>
      <w:r>
        <w:t>du</w:t>
      </w:r>
      <w:proofErr w:type="gramEnd"/>
      <w:r>
        <w:t xml:space="preserve"> CE est publiée à l’issue du processus d’évaluation de l’appel à projets.</w:t>
      </w:r>
    </w:p>
    <w:p w:rsidR="003174F2" w:rsidRDefault="003174F2" w:rsidP="00BE6784">
      <w:pPr>
        <w:pStyle w:val="Default"/>
        <w:jc w:val="both"/>
        <w:rPr>
          <w:rFonts w:ascii="Calibri" w:hAnsi="Calibri"/>
          <w:color w:val="auto"/>
          <w:sz w:val="22"/>
        </w:rPr>
      </w:pPr>
    </w:p>
    <w:p w:rsidR="00B65841" w:rsidRPr="008C296C" w:rsidRDefault="001A034B" w:rsidP="005C11B0">
      <w:pPr>
        <w:rPr>
          <w:rFonts w:cs="Tahoma"/>
        </w:rPr>
      </w:pPr>
      <w:r w:rsidRPr="008C296C">
        <w:rPr>
          <w:rFonts w:cs="Tahoma"/>
        </w:rPr>
        <w:t xml:space="preserve">Les principales étapes de la procédure de sélection </w:t>
      </w:r>
      <w:r w:rsidR="00165055" w:rsidRPr="008C296C">
        <w:rPr>
          <w:rFonts w:cs="Tahoma"/>
        </w:rPr>
        <w:t xml:space="preserve">des dossiers de candidature </w:t>
      </w:r>
      <w:r w:rsidRPr="008C296C">
        <w:rPr>
          <w:rFonts w:cs="Tahoma"/>
        </w:rPr>
        <w:t>sont les suivantes :</w:t>
      </w:r>
      <w:r w:rsidRPr="008C296C" w:rsidDel="00C54A6F">
        <w:rPr>
          <w:rFonts w:cs="Tahoma"/>
        </w:rPr>
        <w:t xml:space="preserve"> </w:t>
      </w:r>
    </w:p>
    <w:p w:rsidR="004E5931" w:rsidRPr="008C296C" w:rsidRDefault="004E5931" w:rsidP="00105A80">
      <w:pPr>
        <w:pStyle w:val="Paragraphedeliste"/>
        <w:numPr>
          <w:ilvl w:val="0"/>
          <w:numId w:val="8"/>
        </w:numPr>
        <w:ind w:left="993" w:hanging="396"/>
        <w:rPr>
          <w:rFonts w:cs="Tahoma"/>
        </w:rPr>
      </w:pPr>
      <w:r w:rsidRPr="008C296C">
        <w:rPr>
          <w:rFonts w:cs="Tahoma"/>
        </w:rPr>
        <w:t>Vérification des critères de recevabilité ;</w:t>
      </w:r>
    </w:p>
    <w:p w:rsidR="004E5931" w:rsidRPr="008C296C" w:rsidRDefault="004E5931" w:rsidP="00105A80">
      <w:pPr>
        <w:pStyle w:val="Paragraphedeliste"/>
        <w:numPr>
          <w:ilvl w:val="0"/>
          <w:numId w:val="8"/>
        </w:numPr>
        <w:ind w:left="993" w:hanging="396"/>
        <w:rPr>
          <w:rFonts w:cs="Tahoma"/>
        </w:rPr>
      </w:pPr>
      <w:r w:rsidRPr="008C296C">
        <w:rPr>
          <w:rFonts w:cs="Tahoma"/>
        </w:rPr>
        <w:t>Vérification des critères d’éligibilité ;</w:t>
      </w:r>
    </w:p>
    <w:p w:rsidR="00C847F5" w:rsidRDefault="002A6DC2" w:rsidP="002A6DC2">
      <w:pPr>
        <w:pStyle w:val="Paragraphedeliste"/>
        <w:numPr>
          <w:ilvl w:val="0"/>
          <w:numId w:val="8"/>
        </w:numPr>
        <w:ind w:left="993" w:hanging="396"/>
        <w:rPr>
          <w:rFonts w:cs="Tahoma"/>
        </w:rPr>
      </w:pPr>
      <w:r w:rsidRPr="00C847F5">
        <w:rPr>
          <w:rFonts w:cs="Tahoma"/>
        </w:rPr>
        <w:t xml:space="preserve">Evaluation externe : des évaluateurs extérieurs sont sollicités pour fournir un rapport d’évaluation des projets finalisés </w:t>
      </w:r>
    </w:p>
    <w:p w:rsidR="002A6DC2" w:rsidRPr="00C847F5" w:rsidRDefault="002A6DC2" w:rsidP="002A6DC2">
      <w:pPr>
        <w:pStyle w:val="Paragraphedeliste"/>
        <w:numPr>
          <w:ilvl w:val="0"/>
          <w:numId w:val="8"/>
        </w:numPr>
        <w:ind w:left="993" w:hanging="396"/>
        <w:rPr>
          <w:rFonts w:cs="Tahoma"/>
        </w:rPr>
      </w:pPr>
      <w:r w:rsidRPr="00C847F5">
        <w:rPr>
          <w:rFonts w:cs="Tahoma"/>
        </w:rPr>
        <w:t xml:space="preserve">Évaluation par </w:t>
      </w:r>
      <w:proofErr w:type="gramStart"/>
      <w:r w:rsidRPr="00C847F5">
        <w:rPr>
          <w:rFonts w:cs="Tahoma"/>
        </w:rPr>
        <w:t>le</w:t>
      </w:r>
      <w:proofErr w:type="gramEnd"/>
      <w:r w:rsidRPr="00C847F5">
        <w:rPr>
          <w:rFonts w:cs="Tahoma"/>
        </w:rPr>
        <w:t xml:space="preserve"> CE : </w:t>
      </w:r>
    </w:p>
    <w:p w:rsidR="002A6DC2" w:rsidRPr="00EB062D" w:rsidRDefault="002A6DC2" w:rsidP="002A6DC2">
      <w:pPr>
        <w:pStyle w:val="Paragraphedeliste"/>
        <w:numPr>
          <w:ilvl w:val="0"/>
          <w:numId w:val="33"/>
        </w:numPr>
        <w:ind w:left="2552"/>
        <w:rPr>
          <w:rFonts w:asciiTheme="minorHAnsi" w:hAnsiTheme="minorHAnsi"/>
        </w:rPr>
      </w:pPr>
      <w:r w:rsidRPr="00EB062D">
        <w:rPr>
          <w:rFonts w:asciiTheme="minorHAnsi" w:hAnsiTheme="minorHAnsi"/>
        </w:rPr>
        <w:t xml:space="preserve">Les membres </w:t>
      </w:r>
      <w:proofErr w:type="gramStart"/>
      <w:r w:rsidRPr="00EB062D">
        <w:rPr>
          <w:rFonts w:asciiTheme="minorHAnsi" w:hAnsiTheme="minorHAnsi"/>
        </w:rPr>
        <w:t>du</w:t>
      </w:r>
      <w:proofErr w:type="gramEnd"/>
      <w:r w:rsidRPr="00EB062D">
        <w:rPr>
          <w:rFonts w:asciiTheme="minorHAnsi" w:hAnsiTheme="minorHAnsi"/>
        </w:rPr>
        <w:t xml:space="preserve"> CE évaluent les projets (deux rapporteurs par projet),</w:t>
      </w:r>
      <w:r>
        <w:rPr>
          <w:rFonts w:asciiTheme="minorHAnsi" w:hAnsiTheme="minorHAnsi"/>
        </w:rPr>
        <w:t xml:space="preserve"> en tenant compte des évaluations</w:t>
      </w:r>
      <w:r w:rsidRPr="00EB062D">
        <w:rPr>
          <w:rFonts w:asciiTheme="minorHAnsi" w:hAnsiTheme="minorHAnsi"/>
        </w:rPr>
        <w:t xml:space="preserve"> externes.</w:t>
      </w:r>
    </w:p>
    <w:p w:rsidR="002A6DC2" w:rsidRPr="00EB062D" w:rsidRDefault="002A6DC2" w:rsidP="002A6DC2">
      <w:pPr>
        <w:pStyle w:val="Paragraphedeliste"/>
        <w:numPr>
          <w:ilvl w:val="0"/>
          <w:numId w:val="33"/>
        </w:numPr>
        <w:ind w:left="2552"/>
        <w:rPr>
          <w:rFonts w:asciiTheme="minorHAnsi" w:hAnsiTheme="minorHAnsi"/>
        </w:rPr>
      </w:pPr>
      <w:proofErr w:type="gramStart"/>
      <w:r w:rsidRPr="00EB062D">
        <w:rPr>
          <w:rFonts w:asciiTheme="minorHAnsi" w:hAnsiTheme="minorHAnsi"/>
        </w:rPr>
        <w:t>Le</w:t>
      </w:r>
      <w:proofErr w:type="gramEnd"/>
      <w:r w:rsidRPr="00EB062D">
        <w:rPr>
          <w:rFonts w:asciiTheme="minorHAnsi" w:hAnsiTheme="minorHAnsi"/>
        </w:rPr>
        <w:t xml:space="preserve"> CE discute collégialement de la qualité des projets.</w:t>
      </w:r>
    </w:p>
    <w:p w:rsidR="002A6DC2" w:rsidRDefault="002A6DC2" w:rsidP="002A6DC2">
      <w:pPr>
        <w:pStyle w:val="Paragraphedeliste"/>
        <w:numPr>
          <w:ilvl w:val="0"/>
          <w:numId w:val="33"/>
        </w:numPr>
        <w:ind w:left="2552"/>
        <w:rPr>
          <w:rFonts w:asciiTheme="minorHAnsi" w:hAnsiTheme="minorHAnsi"/>
        </w:rPr>
      </w:pPr>
      <w:proofErr w:type="gramStart"/>
      <w:r w:rsidRPr="00EB062D">
        <w:rPr>
          <w:rFonts w:asciiTheme="minorHAnsi" w:hAnsiTheme="minorHAnsi"/>
        </w:rPr>
        <w:t>Le</w:t>
      </w:r>
      <w:proofErr w:type="gramEnd"/>
      <w:r w:rsidRPr="00EB062D">
        <w:rPr>
          <w:rFonts w:asciiTheme="minorHAnsi" w:hAnsiTheme="minorHAnsi"/>
        </w:rPr>
        <w:t xml:space="preserve"> CE propose à l’INCa une liste des projets à financer.</w:t>
      </w:r>
    </w:p>
    <w:p w:rsidR="00FB6384" w:rsidRPr="008C296C" w:rsidRDefault="001A034B" w:rsidP="00105A80">
      <w:pPr>
        <w:pStyle w:val="Paragraphedeliste"/>
        <w:numPr>
          <w:ilvl w:val="0"/>
          <w:numId w:val="8"/>
        </w:numPr>
        <w:ind w:left="993" w:hanging="396"/>
        <w:rPr>
          <w:rFonts w:cs="Tahoma"/>
        </w:rPr>
      </w:pPr>
      <w:r w:rsidRPr="008C296C">
        <w:rPr>
          <w:rFonts w:cs="Tahoma"/>
        </w:rPr>
        <w:t xml:space="preserve">Publication de la liste des projets retenus sur proposition </w:t>
      </w:r>
      <w:proofErr w:type="gramStart"/>
      <w:r w:rsidRPr="008C296C">
        <w:rPr>
          <w:rFonts w:cs="Tahoma"/>
        </w:rPr>
        <w:t>du</w:t>
      </w:r>
      <w:proofErr w:type="gramEnd"/>
      <w:r w:rsidRPr="008C296C">
        <w:rPr>
          <w:rFonts w:cs="Tahoma"/>
        </w:rPr>
        <w:t xml:space="preserve"> </w:t>
      </w:r>
      <w:r w:rsidR="003D4F4F" w:rsidRPr="008C296C">
        <w:rPr>
          <w:rFonts w:cs="Tahoma"/>
        </w:rPr>
        <w:t>CE</w:t>
      </w:r>
      <w:r w:rsidRPr="008C296C">
        <w:rPr>
          <w:rFonts w:cs="Tahoma"/>
        </w:rPr>
        <w:t>.</w:t>
      </w:r>
    </w:p>
    <w:p w:rsidR="00B65841" w:rsidRPr="008C296C" w:rsidRDefault="006614D8" w:rsidP="00DA42BC">
      <w:pPr>
        <w:pStyle w:val="Titre1"/>
      </w:pPr>
      <w:bookmarkStart w:id="76" w:name="_Toc341270875"/>
      <w:bookmarkStart w:id="77" w:name="_Toc341270876"/>
      <w:bookmarkStart w:id="78" w:name="_Toc341270877"/>
      <w:bookmarkStart w:id="79" w:name="_Toc341270878"/>
      <w:bookmarkStart w:id="80" w:name="_Toc401231652"/>
      <w:bookmarkStart w:id="81" w:name="_Toc403578767"/>
      <w:bookmarkStart w:id="82" w:name="_Toc468797914"/>
      <w:bookmarkStart w:id="83" w:name="_Toc468798606"/>
      <w:bookmarkStart w:id="84" w:name="_Toc468800092"/>
      <w:bookmarkStart w:id="85" w:name="_Toc499804632"/>
      <w:bookmarkEnd w:id="76"/>
      <w:bookmarkEnd w:id="77"/>
      <w:bookmarkEnd w:id="78"/>
      <w:r w:rsidRPr="008C296C">
        <w:t>Critères d’éligibilité et d’évaluation des projets</w:t>
      </w:r>
      <w:bookmarkEnd w:id="79"/>
      <w:bookmarkEnd w:id="80"/>
      <w:bookmarkEnd w:id="81"/>
      <w:bookmarkEnd w:id="82"/>
      <w:bookmarkEnd w:id="83"/>
      <w:bookmarkEnd w:id="84"/>
      <w:bookmarkEnd w:id="85"/>
    </w:p>
    <w:p w:rsidR="00B65841" w:rsidRPr="008C296C" w:rsidRDefault="00301616" w:rsidP="004B6EB6">
      <w:pPr>
        <w:pStyle w:val="Titre2"/>
      </w:pPr>
      <w:bookmarkStart w:id="86" w:name="_Toc341270879"/>
      <w:bookmarkStart w:id="87" w:name="_Toc468797915"/>
      <w:bookmarkStart w:id="88" w:name="_Toc468798607"/>
      <w:bookmarkStart w:id="89" w:name="_Toc468800093"/>
      <w:bookmarkStart w:id="90" w:name="_Toc499804633"/>
      <w:bookmarkStart w:id="91" w:name="_Toc341270880"/>
      <w:bookmarkStart w:id="92" w:name="_Toc401231653"/>
      <w:bookmarkStart w:id="93" w:name="_Toc403578768"/>
      <w:bookmarkEnd w:id="86"/>
      <w:r w:rsidRPr="008C296C">
        <w:t>Critères d</w:t>
      </w:r>
      <w:r w:rsidR="004E5931" w:rsidRPr="008C296C">
        <w:t>e recevabilité</w:t>
      </w:r>
      <w:bookmarkEnd w:id="87"/>
      <w:bookmarkEnd w:id="88"/>
      <w:bookmarkEnd w:id="89"/>
      <w:bookmarkEnd w:id="90"/>
      <w:r w:rsidR="004E5931" w:rsidRPr="008C296C">
        <w:t xml:space="preserve"> </w:t>
      </w:r>
      <w:bookmarkEnd w:id="91"/>
      <w:bookmarkEnd w:id="92"/>
      <w:bookmarkEnd w:id="93"/>
    </w:p>
    <w:p w:rsidR="004E5931" w:rsidRPr="008C296C" w:rsidRDefault="004E5931" w:rsidP="004E5931">
      <w:pPr>
        <w:rPr>
          <w:rFonts w:cs="Tahoma"/>
        </w:rPr>
      </w:pPr>
      <w:r w:rsidRPr="008C296C">
        <w:rPr>
          <w:rFonts w:cs="Tahoma"/>
        </w:rPr>
        <w:t>Les dossiers doivent être soumis :</w:t>
      </w:r>
    </w:p>
    <w:p w:rsidR="004E5931" w:rsidRPr="008C296C" w:rsidRDefault="004E5931" w:rsidP="00E30B48">
      <w:pPr>
        <w:pStyle w:val="Paragraphedeliste"/>
        <w:numPr>
          <w:ilvl w:val="0"/>
          <w:numId w:val="11"/>
        </w:numPr>
        <w:spacing w:before="60"/>
        <w:ind w:left="709" w:hanging="283"/>
        <w:rPr>
          <w:rFonts w:cs="Tahoma"/>
          <w:b/>
        </w:rPr>
      </w:pPr>
      <w:r w:rsidRPr="008C296C">
        <w:rPr>
          <w:rFonts w:cs="Tahoma"/>
          <w:b/>
        </w:rPr>
        <w:t>dans les délais </w:t>
      </w:r>
    </w:p>
    <w:p w:rsidR="004E5931" w:rsidRPr="007C65BE" w:rsidRDefault="00710894" w:rsidP="00710894">
      <w:pPr>
        <w:pStyle w:val="Paragraphedeliste"/>
        <w:autoSpaceDE w:val="0"/>
        <w:autoSpaceDN w:val="0"/>
        <w:adjustRightInd w:val="0"/>
        <w:ind w:left="0" w:firstLine="709"/>
      </w:pPr>
      <w:r w:rsidRPr="00710894">
        <w:rPr>
          <w:rFonts w:cs="Tahoma"/>
          <w:b/>
        </w:rPr>
        <w:t>Soumission</w:t>
      </w:r>
      <w:r w:rsidR="004E5931" w:rsidRPr="00710894">
        <w:rPr>
          <w:rFonts w:cs="Tahoma"/>
          <w:b/>
        </w:rPr>
        <w:t xml:space="preserve"> électronique</w:t>
      </w:r>
      <w:r w:rsidR="004E5931" w:rsidRPr="008C296C">
        <w:rPr>
          <w:rFonts w:cs="Tahoma"/>
        </w:rPr>
        <w:t> </w:t>
      </w:r>
      <w:r w:rsidR="004E5931" w:rsidRPr="007C65BE">
        <w:t xml:space="preserve">: </w:t>
      </w:r>
      <w:r w:rsidR="008F1AC4" w:rsidRPr="007C65BE">
        <w:t>a</w:t>
      </w:r>
      <w:r w:rsidR="004E5931" w:rsidRPr="007C65BE">
        <w:t>près la date et l’heure limite de d</w:t>
      </w:r>
      <w:r w:rsidRPr="007C65BE">
        <w:t xml:space="preserve">épôt sur le site de soumission, </w:t>
      </w:r>
      <w:r w:rsidR="004E5931" w:rsidRPr="007C65BE">
        <w:t>aucun dossier ne sera recevable. Le système étant automatique, aucun dépôt après cette date et heure ne sera techniquement possible.</w:t>
      </w:r>
    </w:p>
    <w:p w:rsidR="004E5931" w:rsidRDefault="004E5931" w:rsidP="004E5931">
      <w:pPr>
        <w:pStyle w:val="Paragraphedeliste"/>
        <w:autoSpaceDE w:val="0"/>
        <w:autoSpaceDN w:val="0"/>
        <w:adjustRightInd w:val="0"/>
        <w:rPr>
          <w:rFonts w:cs="Tahoma"/>
        </w:rPr>
      </w:pPr>
      <w:r w:rsidRPr="00710894">
        <w:rPr>
          <w:rFonts w:cs="Tahoma"/>
          <w:b/>
        </w:rPr>
        <w:t>Soumission par courrier</w:t>
      </w:r>
      <w:r w:rsidRPr="008C296C">
        <w:rPr>
          <w:rFonts w:cs="Tahoma"/>
        </w:rPr>
        <w:t> : le cachet de la poste faisant foi</w:t>
      </w:r>
      <w:r w:rsidR="003174F2">
        <w:rPr>
          <w:rFonts w:cs="Tahoma"/>
        </w:rPr>
        <w:t>, dans les délais indiqués au ch.8 ;</w:t>
      </w:r>
    </w:p>
    <w:p w:rsidR="00710894" w:rsidRPr="008C296C" w:rsidRDefault="00710894" w:rsidP="004E5931">
      <w:pPr>
        <w:pStyle w:val="Paragraphedeliste"/>
        <w:autoSpaceDE w:val="0"/>
        <w:autoSpaceDN w:val="0"/>
        <w:adjustRightInd w:val="0"/>
        <w:rPr>
          <w:rFonts w:cs="Tahoma"/>
          <w:b/>
        </w:rPr>
      </w:pPr>
    </w:p>
    <w:p w:rsidR="004E5931" w:rsidRPr="008C296C" w:rsidRDefault="004E5931" w:rsidP="008F35D4">
      <w:pPr>
        <w:pStyle w:val="Paragraphedeliste"/>
        <w:numPr>
          <w:ilvl w:val="0"/>
          <w:numId w:val="11"/>
        </w:numPr>
        <w:spacing w:before="60"/>
        <w:ind w:left="709" w:hanging="283"/>
        <w:rPr>
          <w:rFonts w:cs="Tahoma"/>
        </w:rPr>
      </w:pPr>
      <w:r w:rsidRPr="008C296C">
        <w:rPr>
          <w:rFonts w:cs="Tahoma"/>
          <w:b/>
        </w:rPr>
        <w:t>au format demandé</w:t>
      </w:r>
      <w:r w:rsidRPr="008C296C">
        <w:rPr>
          <w:rFonts w:cs="Tahoma"/>
        </w:rPr>
        <w:t xml:space="preserve"> </w:t>
      </w:r>
    </w:p>
    <w:p w:rsidR="004E5931" w:rsidRPr="008C296C" w:rsidRDefault="00710894" w:rsidP="00710894">
      <w:pPr>
        <w:pStyle w:val="Paragraphedeliste"/>
        <w:autoSpaceDE w:val="0"/>
        <w:autoSpaceDN w:val="0"/>
        <w:adjustRightInd w:val="0"/>
        <w:ind w:left="0" w:firstLine="709"/>
        <w:rPr>
          <w:rFonts w:cs="Tahoma"/>
        </w:rPr>
      </w:pPr>
      <w:r w:rsidRPr="00710894">
        <w:rPr>
          <w:rFonts w:cs="Tahoma"/>
          <w:b/>
        </w:rPr>
        <w:t>Soumission</w:t>
      </w:r>
      <w:r w:rsidR="004E5931" w:rsidRPr="00710894">
        <w:rPr>
          <w:rFonts w:cs="Tahoma"/>
          <w:b/>
        </w:rPr>
        <w:t xml:space="preserve"> électronique</w:t>
      </w:r>
      <w:r w:rsidR="004E5931" w:rsidRPr="008C296C">
        <w:rPr>
          <w:rFonts w:cs="Tahoma"/>
        </w:rPr>
        <w:t> : Le dossier de candidature complet comprend deux documents : un premier, scientifique, au format Word et un second, financier, au format Excel.</w:t>
      </w:r>
    </w:p>
    <w:p w:rsidR="004E5931" w:rsidRPr="00330E26" w:rsidRDefault="004E5931" w:rsidP="00710894">
      <w:pPr>
        <w:pStyle w:val="Paragraphedeliste"/>
        <w:ind w:left="0"/>
        <w:rPr>
          <w:rFonts w:cs="Tahoma"/>
        </w:rPr>
      </w:pPr>
      <w:r w:rsidRPr="00330E26">
        <w:rPr>
          <w:rFonts w:cs="Tahoma"/>
        </w:rPr>
        <w:t>Aucun document scanné ni PDF ne pourra être pris en compte. Les éventuels documents annexes devront impérativement être intégrés au document Word dans la partie “Annexe“. La taille du fichier Word finalisé ne doit pas excéder 4 Mo.</w:t>
      </w:r>
      <w:r w:rsidR="002E7669" w:rsidRPr="00330E26">
        <w:rPr>
          <w:rFonts w:cs="Tahoma"/>
        </w:rPr>
        <w:t xml:space="preserve"> Pas de signature sur le support électronique.</w:t>
      </w:r>
    </w:p>
    <w:p w:rsidR="004E5931" w:rsidRDefault="004E5931" w:rsidP="00710894">
      <w:pPr>
        <w:pStyle w:val="Paragraphedeliste"/>
        <w:autoSpaceDE w:val="0"/>
        <w:autoSpaceDN w:val="0"/>
        <w:adjustRightInd w:val="0"/>
        <w:ind w:left="0" w:firstLine="709"/>
        <w:rPr>
          <w:rFonts w:cs="Tahoma"/>
        </w:rPr>
      </w:pPr>
      <w:r w:rsidRPr="00710894">
        <w:rPr>
          <w:rFonts w:cs="Tahoma"/>
          <w:b/>
        </w:rPr>
        <w:t>Soumission par courrier</w:t>
      </w:r>
      <w:r w:rsidRPr="008C296C">
        <w:rPr>
          <w:rFonts w:cs="Tahoma"/>
        </w:rPr>
        <w:t> : le document papier comprend les originaux et les signatures requises, ainsi que</w:t>
      </w:r>
      <w:r w:rsidR="002E7669" w:rsidRPr="008C296C">
        <w:rPr>
          <w:rFonts w:cs="Tahoma"/>
        </w:rPr>
        <w:t xml:space="preserve"> </w:t>
      </w:r>
      <w:r w:rsidRPr="008C296C">
        <w:rPr>
          <w:rFonts w:cs="Tahoma"/>
        </w:rPr>
        <w:t>les documents demandés uniquement en format papier.</w:t>
      </w:r>
    </w:p>
    <w:p w:rsidR="00BF7C18" w:rsidRDefault="00BF7C18">
      <w:pPr>
        <w:jc w:val="left"/>
        <w:rPr>
          <w:rFonts w:cs="Tahoma"/>
        </w:rPr>
      </w:pPr>
      <w:r>
        <w:rPr>
          <w:rFonts w:cs="Tahoma"/>
        </w:rPr>
        <w:br w:type="page"/>
      </w:r>
    </w:p>
    <w:p w:rsidR="004E5931" w:rsidRPr="008C296C" w:rsidRDefault="004E5931" w:rsidP="008F35D4">
      <w:pPr>
        <w:pStyle w:val="Paragraphedeliste"/>
        <w:numPr>
          <w:ilvl w:val="0"/>
          <w:numId w:val="11"/>
        </w:numPr>
        <w:spacing w:before="60"/>
        <w:ind w:left="709" w:hanging="283"/>
        <w:rPr>
          <w:rFonts w:cs="Tahoma"/>
          <w:b/>
        </w:rPr>
      </w:pPr>
      <w:r w:rsidRPr="008C296C">
        <w:rPr>
          <w:rFonts w:cs="Tahoma"/>
          <w:b/>
        </w:rPr>
        <w:lastRenderedPageBreak/>
        <w:t>dans leur intégralité</w:t>
      </w:r>
    </w:p>
    <w:p w:rsidR="004E5931" w:rsidRPr="008C296C" w:rsidRDefault="004E5931" w:rsidP="004E5931">
      <w:pPr>
        <w:pStyle w:val="Paragraphedeliste"/>
        <w:spacing w:before="60"/>
        <w:ind w:left="709"/>
        <w:rPr>
          <w:rFonts w:cs="Tahoma"/>
        </w:rPr>
      </w:pPr>
      <w:r w:rsidRPr="008C296C">
        <w:rPr>
          <w:rFonts w:cs="Tahoma"/>
        </w:rPr>
        <w:t xml:space="preserve">Le dossier de candidature (document scientifique Word </w:t>
      </w:r>
      <w:r w:rsidRPr="008C296C">
        <w:rPr>
          <w:rFonts w:cs="Tahoma"/>
          <w:u w:val="single"/>
        </w:rPr>
        <w:t>et</w:t>
      </w:r>
      <w:r w:rsidRPr="008C296C">
        <w:rPr>
          <w:rFonts w:cs="Tahoma"/>
        </w:rPr>
        <w:t xml:space="preserve"> document financier Excel) doit être déposé </w:t>
      </w:r>
      <w:r w:rsidRPr="008C296C">
        <w:rPr>
          <w:rFonts w:cs="Tahoma"/>
          <w:b/>
        </w:rPr>
        <w:t>complet et intégralement renseigné</w:t>
      </w:r>
      <w:r w:rsidRPr="008C296C">
        <w:rPr>
          <w:rFonts w:cs="Tahoma"/>
        </w:rPr>
        <w:t xml:space="preserve">. </w:t>
      </w:r>
    </w:p>
    <w:p w:rsidR="00CA04CE" w:rsidRPr="008C296C" w:rsidRDefault="00CA04CE" w:rsidP="004E5931">
      <w:pPr>
        <w:pStyle w:val="Paragraphedeliste"/>
        <w:spacing w:before="60"/>
        <w:ind w:left="709"/>
        <w:rPr>
          <w:rFonts w:cs="Tahoma"/>
        </w:rPr>
      </w:pPr>
    </w:p>
    <w:p w:rsidR="002E7669" w:rsidRPr="00701DF9" w:rsidRDefault="00B518B4" w:rsidP="002E7669">
      <w:pPr>
        <w:pStyle w:val="Default"/>
        <w:ind w:right="-20"/>
        <w:jc w:val="both"/>
        <w:rPr>
          <w:rFonts w:ascii="Calibri" w:hAnsi="Calibri"/>
          <w:b/>
          <w:color w:val="auto"/>
          <w:sz w:val="22"/>
        </w:rPr>
      </w:pPr>
      <w:r w:rsidRPr="00701DF9">
        <w:rPr>
          <w:rFonts w:ascii="Calibri" w:hAnsi="Calibri"/>
          <w:b/>
          <w:color w:val="auto"/>
          <w:sz w:val="22"/>
        </w:rPr>
        <w:t>L’attention</w:t>
      </w:r>
      <w:r w:rsidR="002E7669" w:rsidRPr="00701DF9">
        <w:rPr>
          <w:rFonts w:ascii="Calibri" w:hAnsi="Calibri"/>
          <w:b/>
          <w:color w:val="auto"/>
          <w:sz w:val="22"/>
        </w:rPr>
        <w:t xml:space="preserve"> des coordonnateurs est attirée sur les points suivants : </w:t>
      </w:r>
    </w:p>
    <w:p w:rsidR="002E7669" w:rsidRPr="00701DF9" w:rsidRDefault="002E7669" w:rsidP="00105A80">
      <w:pPr>
        <w:pStyle w:val="Default"/>
        <w:numPr>
          <w:ilvl w:val="0"/>
          <w:numId w:val="11"/>
        </w:numPr>
        <w:ind w:right="-20"/>
        <w:jc w:val="both"/>
        <w:rPr>
          <w:rFonts w:ascii="Calibri" w:hAnsi="Calibri"/>
          <w:b/>
          <w:color w:val="auto"/>
          <w:sz w:val="22"/>
        </w:rPr>
      </w:pPr>
      <w:r w:rsidRPr="00701DF9">
        <w:rPr>
          <w:rFonts w:ascii="Calibri" w:hAnsi="Calibri"/>
          <w:b/>
          <w:color w:val="auto"/>
          <w:sz w:val="22"/>
        </w:rPr>
        <w:t xml:space="preserve">Les dossiers incomplets ne sont pas recevables, et ne seront donc pas évalués. </w:t>
      </w:r>
    </w:p>
    <w:p w:rsidR="002E7669" w:rsidRPr="00701DF9" w:rsidRDefault="002E7669" w:rsidP="00105A80">
      <w:pPr>
        <w:pStyle w:val="Default"/>
        <w:numPr>
          <w:ilvl w:val="0"/>
          <w:numId w:val="11"/>
        </w:numPr>
        <w:ind w:right="-20"/>
        <w:jc w:val="both"/>
        <w:rPr>
          <w:rFonts w:ascii="Calibri" w:hAnsi="Calibri"/>
          <w:b/>
          <w:color w:val="auto"/>
          <w:sz w:val="22"/>
        </w:rPr>
      </w:pPr>
      <w:r w:rsidRPr="00701DF9">
        <w:rPr>
          <w:rFonts w:ascii="Calibri" w:hAnsi="Calibri"/>
          <w:b/>
          <w:color w:val="auto"/>
          <w:sz w:val="22"/>
        </w:rPr>
        <w:t>Conformité des dossiers :</w:t>
      </w:r>
    </w:p>
    <w:p w:rsidR="002E7669" w:rsidRPr="008C296C" w:rsidRDefault="002E7669" w:rsidP="007C65BE">
      <w:r w:rsidRPr="00701DF9">
        <w:t>Les dossiers complets seront contrôlés et pourront donner lieu à des demandes complémentaires ou de modification. Ces demandes devront être satisfaites dans les meilleurs délais.</w:t>
      </w:r>
      <w:r w:rsidRPr="008C296C">
        <w:t xml:space="preserve"> </w:t>
      </w:r>
    </w:p>
    <w:p w:rsidR="002E7669" w:rsidRPr="008C296C" w:rsidRDefault="002E7669" w:rsidP="007C65BE">
      <w:r w:rsidRPr="008C296C">
        <w:t xml:space="preserve">Aucun dossier sélectionné par le comité d’évaluation ne sera retenu s’il n’est pas mis en totale conformité dans un délai maximum de 15 jours ouvrables à notification des résultats par email au coordonnateur. </w:t>
      </w:r>
    </w:p>
    <w:p w:rsidR="002E7669" w:rsidRDefault="002E7669" w:rsidP="00710894">
      <w:pPr>
        <w:pStyle w:val="Default"/>
        <w:ind w:right="-23"/>
        <w:jc w:val="both"/>
        <w:rPr>
          <w:rFonts w:ascii="Calibri" w:hAnsi="Calibri"/>
          <w:b/>
          <w:color w:val="auto"/>
          <w:sz w:val="22"/>
        </w:rPr>
      </w:pPr>
      <w:r w:rsidRPr="008C296C">
        <w:rPr>
          <w:rFonts w:ascii="Calibri" w:hAnsi="Calibri"/>
          <w:b/>
          <w:color w:val="auto"/>
          <w:sz w:val="22"/>
        </w:rPr>
        <w:t xml:space="preserve">Attention : ces principes sont d’application stricte, tout dossier incomplet ou non conforme ne sera pas financé. Nous appelons les coordonnateurs à la plus grande vigilance sur la composition du dossier. Pour faciliter ce travail une liste de contrôle figure dans le dossier de candidature, elle est à renseigner et à signer par le </w:t>
      </w:r>
      <w:r w:rsidR="00701DF9" w:rsidRPr="008C296C">
        <w:rPr>
          <w:rFonts w:ascii="Calibri" w:hAnsi="Calibri"/>
          <w:b/>
          <w:color w:val="auto"/>
          <w:sz w:val="22"/>
        </w:rPr>
        <w:t>coordonnateur</w:t>
      </w:r>
      <w:r w:rsidRPr="008C296C">
        <w:rPr>
          <w:rFonts w:ascii="Calibri" w:hAnsi="Calibri"/>
          <w:b/>
          <w:color w:val="auto"/>
          <w:sz w:val="22"/>
        </w:rPr>
        <w:t>.</w:t>
      </w:r>
    </w:p>
    <w:p w:rsidR="004E5931" w:rsidRPr="008C296C" w:rsidRDefault="004E5931" w:rsidP="004B6EB6">
      <w:pPr>
        <w:pStyle w:val="Titre2"/>
      </w:pPr>
      <w:bookmarkStart w:id="94" w:name="_Toc468797916"/>
      <w:bookmarkStart w:id="95" w:name="_Toc468798608"/>
      <w:bookmarkStart w:id="96" w:name="_Toc468800094"/>
      <w:bookmarkStart w:id="97" w:name="_Toc499804634"/>
      <w:r w:rsidRPr="008C296C">
        <w:t>Critères d’éligibilité</w:t>
      </w:r>
      <w:bookmarkEnd w:id="94"/>
      <w:bookmarkEnd w:id="95"/>
      <w:bookmarkEnd w:id="96"/>
      <w:bookmarkEnd w:id="97"/>
    </w:p>
    <w:p w:rsidR="006D219D" w:rsidRPr="008C296C" w:rsidRDefault="006D219D" w:rsidP="006D219D">
      <w:pPr>
        <w:rPr>
          <w:rFonts w:cs="Tahoma"/>
        </w:rPr>
      </w:pPr>
      <w:r w:rsidRPr="008C296C">
        <w:rPr>
          <w:rFonts w:cs="Tahoma"/>
        </w:rPr>
        <w:t>Les projets doivent répondre aux conditions suivantes :</w:t>
      </w:r>
    </w:p>
    <w:p w:rsidR="006D219D" w:rsidRPr="008C296C" w:rsidRDefault="006D219D" w:rsidP="006D219D">
      <w:pPr>
        <w:numPr>
          <w:ilvl w:val="0"/>
          <w:numId w:val="5"/>
        </w:numPr>
        <w:autoSpaceDE w:val="0"/>
        <w:autoSpaceDN w:val="0"/>
        <w:adjustRightInd w:val="0"/>
        <w:rPr>
          <w:rFonts w:cs="Tahoma"/>
        </w:rPr>
      </w:pPr>
      <w:r w:rsidRPr="008C296C">
        <w:rPr>
          <w:rFonts w:cs="Tahoma"/>
        </w:rPr>
        <w:t>Le projet doit répondre aux objectifs du présent appel à projets et s’inscrire dans un des axes identifiés ;</w:t>
      </w:r>
    </w:p>
    <w:p w:rsidR="006D219D" w:rsidRPr="008C296C" w:rsidRDefault="006D219D" w:rsidP="006D219D">
      <w:pPr>
        <w:numPr>
          <w:ilvl w:val="0"/>
          <w:numId w:val="5"/>
        </w:numPr>
        <w:autoSpaceDE w:val="0"/>
        <w:autoSpaceDN w:val="0"/>
        <w:adjustRightInd w:val="0"/>
        <w:rPr>
          <w:rFonts w:cs="Tahoma"/>
        </w:rPr>
      </w:pPr>
      <w:r w:rsidRPr="008C296C">
        <w:rPr>
          <w:rFonts w:cs="Tahoma"/>
        </w:rPr>
        <w:t>Un même projet ne peut être soumis la même année à plusieurs appels à projets de l’INCa;</w:t>
      </w:r>
    </w:p>
    <w:p w:rsidR="006D219D" w:rsidRPr="008C296C" w:rsidRDefault="006D219D" w:rsidP="006D219D">
      <w:pPr>
        <w:numPr>
          <w:ilvl w:val="0"/>
          <w:numId w:val="5"/>
        </w:numPr>
        <w:autoSpaceDE w:val="0"/>
        <w:autoSpaceDN w:val="0"/>
        <w:adjustRightInd w:val="0"/>
        <w:rPr>
          <w:rFonts w:cs="Tahoma"/>
        </w:rPr>
      </w:pPr>
      <w:r w:rsidRPr="008C296C">
        <w:rPr>
          <w:rFonts w:cs="Tahoma"/>
        </w:rPr>
        <w:t xml:space="preserve">Le projet doit avoir une durée conforme à la durée indiquée au </w:t>
      </w:r>
      <w:proofErr w:type="spellStart"/>
      <w:r w:rsidRPr="008C296C">
        <w:rPr>
          <w:rFonts w:cs="Tahoma"/>
        </w:rPr>
        <w:t>ch</w:t>
      </w:r>
      <w:proofErr w:type="spellEnd"/>
      <w:r w:rsidRPr="008C296C">
        <w:rPr>
          <w:rFonts w:cs="Tahoma"/>
        </w:rPr>
        <w:t xml:space="preserve"> 3 ;</w:t>
      </w:r>
    </w:p>
    <w:p w:rsidR="006D219D" w:rsidRPr="008C296C" w:rsidRDefault="006D219D" w:rsidP="006D219D">
      <w:pPr>
        <w:numPr>
          <w:ilvl w:val="0"/>
          <w:numId w:val="5"/>
        </w:numPr>
        <w:autoSpaceDE w:val="0"/>
        <w:autoSpaceDN w:val="0"/>
        <w:adjustRightInd w:val="0"/>
        <w:rPr>
          <w:rFonts w:cs="Tahoma"/>
        </w:rPr>
      </w:pPr>
      <w:r w:rsidRPr="008C296C">
        <w:rPr>
          <w:rFonts w:cs="Tahoma"/>
        </w:rPr>
        <w:t>Un calendrier prévisionnel des étapes-clés devra être présenté ;</w:t>
      </w:r>
    </w:p>
    <w:p w:rsidR="006D219D" w:rsidRPr="008C296C" w:rsidRDefault="006D219D" w:rsidP="006D219D">
      <w:pPr>
        <w:numPr>
          <w:ilvl w:val="0"/>
          <w:numId w:val="5"/>
        </w:numPr>
        <w:autoSpaceDE w:val="0"/>
        <w:autoSpaceDN w:val="0"/>
        <w:adjustRightInd w:val="0"/>
        <w:rPr>
          <w:rFonts w:cs="Tahoma"/>
        </w:rPr>
      </w:pPr>
      <w:r w:rsidRPr="008C296C">
        <w:rPr>
          <w:rFonts w:cs="Tahoma"/>
        </w:rPr>
        <w:t>Le coordinateur de projet ne doit pas être membre du comité d’évaluation de cet appel à projets.</w:t>
      </w:r>
    </w:p>
    <w:p w:rsidR="003174F2" w:rsidRPr="007754FD" w:rsidRDefault="00407DF2" w:rsidP="003174F2">
      <w:pPr>
        <w:pStyle w:val="Paragraphedeliste"/>
        <w:numPr>
          <w:ilvl w:val="0"/>
          <w:numId w:val="5"/>
        </w:numPr>
        <w:spacing w:before="120"/>
        <w:contextualSpacing w:val="0"/>
        <w:rPr>
          <w:rFonts w:asciiTheme="minorHAnsi" w:hAnsiTheme="minorHAnsi"/>
        </w:rPr>
      </w:pPr>
      <w:r>
        <w:rPr>
          <w:rFonts w:asciiTheme="minorHAnsi" w:hAnsiTheme="minorHAnsi"/>
        </w:rPr>
        <w:t>Le coordonnateur ne</w:t>
      </w:r>
      <w:r w:rsidR="00BC039D">
        <w:rPr>
          <w:rFonts w:asciiTheme="minorHAnsi" w:hAnsiTheme="minorHAnsi"/>
        </w:rPr>
        <w:t xml:space="preserve"> doit </w:t>
      </w:r>
      <w:r w:rsidR="003174F2" w:rsidRPr="007754FD">
        <w:rPr>
          <w:rFonts w:asciiTheme="minorHAnsi" w:hAnsiTheme="minorHAnsi"/>
        </w:rPr>
        <w:t>pas assurer la coordination de plus de 3 projets en cours de financement par l’INCa au moment de la délibération finale du CE ;</w:t>
      </w:r>
    </w:p>
    <w:p w:rsidR="003174F2" w:rsidRPr="007754FD" w:rsidRDefault="003174F2" w:rsidP="003174F2">
      <w:pPr>
        <w:pStyle w:val="Paragraphedeliste"/>
        <w:numPr>
          <w:ilvl w:val="0"/>
          <w:numId w:val="5"/>
        </w:numPr>
        <w:spacing w:before="120"/>
        <w:contextualSpacing w:val="0"/>
        <w:rPr>
          <w:rFonts w:asciiTheme="minorHAnsi" w:hAnsiTheme="minorHAnsi"/>
        </w:rPr>
      </w:pPr>
      <w:r w:rsidRPr="007754FD">
        <w:rPr>
          <w:rFonts w:asciiTheme="minorHAnsi" w:hAnsiTheme="minorHAnsi"/>
        </w:rPr>
        <w:t>Le coordonnateur du projet s’engage à consacrer au minimum 30% de son temps au projet. Plus généralement, toute personne participant à des projets financés par l’INCa ne peut être engagée à plus de 100% de son temps dans ses différents projets</w:t>
      </w:r>
      <w:r w:rsidR="002A6DC2">
        <w:rPr>
          <w:rFonts w:asciiTheme="minorHAnsi" w:hAnsiTheme="minorHAnsi"/>
        </w:rPr>
        <w:t xml:space="preserve"> </w:t>
      </w:r>
      <w:r w:rsidR="002A6DC2" w:rsidRPr="007754FD">
        <w:rPr>
          <w:rFonts w:asciiTheme="minorHAnsi" w:hAnsiTheme="minorHAnsi"/>
        </w:rPr>
        <w:t>en cours de financement par l’INCa au moment de la délibération finale du CE ;</w:t>
      </w:r>
      <w:r w:rsidRPr="007754FD">
        <w:rPr>
          <w:rFonts w:asciiTheme="minorHAnsi" w:hAnsiTheme="minorHAnsi"/>
        </w:rPr>
        <w:t xml:space="preserve"> </w:t>
      </w:r>
    </w:p>
    <w:p w:rsidR="003174F2" w:rsidRDefault="003174F2" w:rsidP="006D219D">
      <w:pPr>
        <w:autoSpaceDE w:val="0"/>
        <w:autoSpaceDN w:val="0"/>
        <w:adjustRightInd w:val="0"/>
        <w:rPr>
          <w:rFonts w:cs="Tahoma"/>
        </w:rPr>
      </w:pPr>
    </w:p>
    <w:p w:rsidR="006D219D" w:rsidRPr="008C296C" w:rsidRDefault="006D219D" w:rsidP="006D219D">
      <w:pPr>
        <w:autoSpaceDE w:val="0"/>
        <w:autoSpaceDN w:val="0"/>
        <w:adjustRightInd w:val="0"/>
        <w:rPr>
          <w:rFonts w:cs="Tahoma"/>
        </w:rPr>
      </w:pPr>
      <w:r w:rsidRPr="008C296C">
        <w:rPr>
          <w:rFonts w:cs="Tahoma"/>
        </w:rPr>
        <w:t>Les dossiers ne satisfaisant pas aux critères d’éligibilité ne seront pas soumis à évaluation.</w:t>
      </w:r>
    </w:p>
    <w:p w:rsidR="00B65841" w:rsidRPr="008C296C" w:rsidRDefault="006614D8" w:rsidP="004B6EB6">
      <w:pPr>
        <w:pStyle w:val="Titre2"/>
      </w:pPr>
      <w:bookmarkStart w:id="98" w:name="_Toc341270881"/>
      <w:bookmarkStart w:id="99" w:name="_Toc341270882"/>
      <w:bookmarkStart w:id="100" w:name="_Toc341270883"/>
      <w:bookmarkStart w:id="101" w:name="_Toc401231654"/>
      <w:bookmarkStart w:id="102" w:name="_Toc403578769"/>
      <w:bookmarkStart w:id="103" w:name="_Toc468797917"/>
      <w:bookmarkStart w:id="104" w:name="_Toc468798609"/>
      <w:bookmarkStart w:id="105" w:name="_Toc468800095"/>
      <w:bookmarkStart w:id="106" w:name="_Toc499804635"/>
      <w:bookmarkStart w:id="107" w:name="_Toc160861653"/>
      <w:bookmarkEnd w:id="98"/>
      <w:bookmarkEnd w:id="99"/>
      <w:r w:rsidRPr="008C296C">
        <w:t>Critères d’évaluation</w:t>
      </w:r>
      <w:bookmarkEnd w:id="100"/>
      <w:bookmarkEnd w:id="101"/>
      <w:bookmarkEnd w:id="102"/>
      <w:bookmarkEnd w:id="103"/>
      <w:bookmarkEnd w:id="104"/>
      <w:bookmarkEnd w:id="105"/>
      <w:bookmarkEnd w:id="106"/>
      <w:r w:rsidRPr="008C296C">
        <w:t xml:space="preserve"> </w:t>
      </w:r>
    </w:p>
    <w:p w:rsidR="00B65841" w:rsidRPr="008C296C" w:rsidRDefault="006614D8" w:rsidP="005C11B0">
      <w:pPr>
        <w:rPr>
          <w:rFonts w:cs="Tahoma"/>
        </w:rPr>
      </w:pPr>
      <w:r w:rsidRPr="008C296C">
        <w:rPr>
          <w:rFonts w:cs="Tahoma"/>
        </w:rPr>
        <w:t xml:space="preserve">Les </w:t>
      </w:r>
      <w:r w:rsidR="003945FB" w:rsidRPr="008C296C">
        <w:rPr>
          <w:rFonts w:cs="Tahoma"/>
        </w:rPr>
        <w:t xml:space="preserve">dossiers de candidatures </w:t>
      </w:r>
      <w:r w:rsidRPr="008C296C">
        <w:rPr>
          <w:rFonts w:cs="Tahoma"/>
        </w:rPr>
        <w:t>seront évalués se</w:t>
      </w:r>
      <w:r w:rsidR="007C0E7A" w:rsidRPr="008C296C">
        <w:rPr>
          <w:rFonts w:cs="Tahoma"/>
        </w:rPr>
        <w:t xml:space="preserve">lon les </w:t>
      </w:r>
      <w:r w:rsidR="00806DC1" w:rsidRPr="008C296C">
        <w:rPr>
          <w:rFonts w:cs="Tahoma"/>
        </w:rPr>
        <w:t>critères</w:t>
      </w:r>
      <w:r w:rsidR="007C0E7A" w:rsidRPr="008C296C">
        <w:rPr>
          <w:rFonts w:cs="Tahoma"/>
        </w:rPr>
        <w:t xml:space="preserve"> suivants</w:t>
      </w:r>
      <w:r w:rsidR="00806DC1" w:rsidRPr="008C296C">
        <w:rPr>
          <w:rFonts w:cs="Tahoma"/>
        </w:rPr>
        <w:t> :</w:t>
      </w:r>
    </w:p>
    <w:p w:rsidR="00B20373" w:rsidRDefault="00B20373" w:rsidP="00B20373">
      <w:pPr>
        <w:pStyle w:val="Soustitrenormal"/>
        <w:numPr>
          <w:ilvl w:val="0"/>
          <w:numId w:val="0"/>
        </w:numPr>
        <w:tabs>
          <w:tab w:val="left" w:pos="708"/>
        </w:tabs>
        <w:ind w:left="360" w:hanging="360"/>
        <w:rPr>
          <w:i w:val="0"/>
          <w:iCs w:val="0"/>
        </w:rPr>
      </w:pPr>
      <w:bookmarkStart w:id="108" w:name="_Toc341270884"/>
      <w:bookmarkStart w:id="109" w:name="_Toc401231655"/>
      <w:bookmarkStart w:id="110" w:name="_Toc403578770"/>
      <w:bookmarkStart w:id="111" w:name="_Toc468797918"/>
      <w:bookmarkStart w:id="112" w:name="_Toc468798610"/>
      <w:bookmarkStart w:id="113" w:name="_Toc468800096"/>
      <w:bookmarkStart w:id="114" w:name="_Toc160861654"/>
      <w:bookmarkEnd w:id="107"/>
    </w:p>
    <w:p w:rsidR="00B20373" w:rsidRDefault="00B20373" w:rsidP="00B20373">
      <w:pPr>
        <w:pStyle w:val="Soustitrenormal"/>
        <w:numPr>
          <w:ilvl w:val="0"/>
          <w:numId w:val="0"/>
        </w:numPr>
        <w:tabs>
          <w:tab w:val="left" w:pos="708"/>
        </w:tabs>
        <w:ind w:left="360" w:hanging="360"/>
        <w:rPr>
          <w:i w:val="0"/>
          <w:iCs w:val="0"/>
        </w:rPr>
      </w:pPr>
      <w:r>
        <w:rPr>
          <w:i w:val="0"/>
          <w:iCs w:val="0"/>
        </w:rPr>
        <w:t>Intérêt et qualités du projet</w:t>
      </w:r>
    </w:p>
    <w:p w:rsidR="00B20373" w:rsidRDefault="00B20373" w:rsidP="00B20373">
      <w:pPr>
        <w:numPr>
          <w:ilvl w:val="0"/>
          <w:numId w:val="35"/>
        </w:numPr>
        <w:autoSpaceDE w:val="0"/>
        <w:autoSpaceDN w:val="0"/>
        <w:ind w:left="567" w:hanging="425"/>
      </w:pPr>
      <w:r>
        <w:t>Clarté des objectifs, structuration et cohérence ;</w:t>
      </w:r>
    </w:p>
    <w:p w:rsidR="00B20373" w:rsidRDefault="00B20373" w:rsidP="00B20373">
      <w:pPr>
        <w:numPr>
          <w:ilvl w:val="0"/>
          <w:numId w:val="35"/>
        </w:numPr>
        <w:autoSpaceDE w:val="0"/>
        <w:autoSpaceDN w:val="0"/>
        <w:ind w:left="567" w:hanging="425"/>
      </w:pPr>
      <w:r>
        <w:t>Effet levier et caractère si possible innovant du projet ;</w:t>
      </w:r>
    </w:p>
    <w:p w:rsidR="00B20373" w:rsidRDefault="00B20373" w:rsidP="00B20373">
      <w:pPr>
        <w:numPr>
          <w:ilvl w:val="0"/>
          <w:numId w:val="35"/>
        </w:numPr>
        <w:autoSpaceDE w:val="0"/>
        <w:autoSpaceDN w:val="0"/>
        <w:ind w:left="567" w:hanging="425"/>
      </w:pPr>
      <w:r>
        <w:t xml:space="preserve">Positionnement du projet dans l’environnement médico-social du bassin de vie dans lequel il s’inscrit, le recours aux partenariats et aux mutualisations est fortement recommandé ; </w:t>
      </w:r>
    </w:p>
    <w:p w:rsidR="00B20373" w:rsidRDefault="00B20373" w:rsidP="00B20373">
      <w:pPr>
        <w:numPr>
          <w:ilvl w:val="0"/>
          <w:numId w:val="35"/>
        </w:numPr>
        <w:autoSpaceDE w:val="0"/>
        <w:autoSpaceDN w:val="0"/>
        <w:ind w:left="567" w:hanging="425"/>
      </w:pPr>
      <w:r>
        <w:t>Pertinence en matière d’enjeu de santé publique ;</w:t>
      </w:r>
    </w:p>
    <w:p w:rsidR="00B20373" w:rsidRDefault="00B20373" w:rsidP="00B20373">
      <w:pPr>
        <w:numPr>
          <w:ilvl w:val="0"/>
          <w:numId w:val="35"/>
        </w:numPr>
        <w:autoSpaceDE w:val="0"/>
        <w:autoSpaceDN w:val="0"/>
        <w:ind w:left="567" w:hanging="425"/>
      </w:pPr>
      <w:r>
        <w:t>Implémentation possible au niveau national ;</w:t>
      </w:r>
    </w:p>
    <w:p w:rsidR="00BF7C18" w:rsidRDefault="00BF7C18">
      <w:pPr>
        <w:jc w:val="left"/>
        <w:rPr>
          <w:b/>
          <w:bCs/>
          <w:szCs w:val="20"/>
        </w:rPr>
      </w:pPr>
      <w:r>
        <w:rPr>
          <w:i/>
          <w:iCs/>
        </w:rPr>
        <w:br w:type="page"/>
      </w:r>
    </w:p>
    <w:p w:rsidR="00B20373" w:rsidRDefault="00B20373" w:rsidP="00B20373">
      <w:pPr>
        <w:pStyle w:val="Soustitrenormal"/>
        <w:numPr>
          <w:ilvl w:val="0"/>
          <w:numId w:val="0"/>
        </w:numPr>
        <w:tabs>
          <w:tab w:val="left" w:pos="708"/>
        </w:tabs>
        <w:ind w:left="360" w:hanging="360"/>
        <w:rPr>
          <w:i w:val="0"/>
          <w:iCs w:val="0"/>
        </w:rPr>
      </w:pPr>
      <w:r>
        <w:rPr>
          <w:i w:val="0"/>
          <w:iCs w:val="0"/>
        </w:rPr>
        <w:lastRenderedPageBreak/>
        <w:t>Faisabilité et méthodologie</w:t>
      </w:r>
    </w:p>
    <w:p w:rsidR="00B20373" w:rsidRDefault="00B20373" w:rsidP="00B20373">
      <w:pPr>
        <w:numPr>
          <w:ilvl w:val="0"/>
          <w:numId w:val="35"/>
        </w:numPr>
        <w:autoSpaceDE w:val="0"/>
        <w:autoSpaceDN w:val="0"/>
        <w:ind w:left="567" w:hanging="425"/>
      </w:pPr>
      <w:r>
        <w:t>Aptitude de la structure et du référent technique à diriger le projet ;</w:t>
      </w:r>
    </w:p>
    <w:p w:rsidR="00B20373" w:rsidRDefault="00B20373" w:rsidP="00B20373">
      <w:pPr>
        <w:numPr>
          <w:ilvl w:val="0"/>
          <w:numId w:val="35"/>
        </w:numPr>
        <w:autoSpaceDE w:val="0"/>
        <w:autoSpaceDN w:val="0"/>
        <w:ind w:left="567" w:hanging="425"/>
      </w:pPr>
      <w:r>
        <w:t xml:space="preserve">Caractère intégré de l’approche proposée, pertinence méthodologique ; </w:t>
      </w:r>
    </w:p>
    <w:p w:rsidR="00B20373" w:rsidRDefault="00B20373" w:rsidP="00B20373">
      <w:pPr>
        <w:numPr>
          <w:ilvl w:val="0"/>
          <w:numId w:val="35"/>
        </w:numPr>
        <w:autoSpaceDE w:val="0"/>
        <w:autoSpaceDN w:val="0"/>
        <w:ind w:left="567" w:hanging="425"/>
      </w:pPr>
      <w:r>
        <w:t xml:space="preserve">Réactivité et rapidité de la mise en œuvre du projet ; </w:t>
      </w:r>
    </w:p>
    <w:p w:rsidR="00B20373" w:rsidRDefault="00B20373" w:rsidP="00B20373">
      <w:pPr>
        <w:numPr>
          <w:ilvl w:val="0"/>
          <w:numId w:val="35"/>
        </w:numPr>
        <w:autoSpaceDE w:val="0"/>
        <w:autoSpaceDN w:val="0"/>
        <w:ind w:left="567" w:hanging="425"/>
      </w:pPr>
      <w:r>
        <w:t>Description et pertinence des modalités prévues en vue de l’évaluation des réalisations ;</w:t>
      </w:r>
    </w:p>
    <w:p w:rsidR="00B20373" w:rsidRDefault="00B20373" w:rsidP="00B20373">
      <w:pPr>
        <w:numPr>
          <w:ilvl w:val="0"/>
          <w:numId w:val="35"/>
        </w:numPr>
        <w:autoSpaceDE w:val="0"/>
        <w:autoSpaceDN w:val="0"/>
        <w:ind w:left="567" w:hanging="425"/>
      </w:pPr>
      <w:r>
        <w:t>Adéquation entre les ressources humaines, l’environnement technologique, sanitaire et/ou médico-social et les besoins du projet ;</w:t>
      </w:r>
    </w:p>
    <w:p w:rsidR="00B20373" w:rsidRDefault="00B20373" w:rsidP="00B20373">
      <w:pPr>
        <w:numPr>
          <w:ilvl w:val="0"/>
          <w:numId w:val="35"/>
        </w:numPr>
        <w:autoSpaceDE w:val="0"/>
        <w:autoSpaceDN w:val="0"/>
        <w:ind w:left="567" w:hanging="425"/>
      </w:pPr>
      <w:r>
        <w:t>Crédibilité du calendrier du projet ; un calendrier des étapes-clés de la mise en œuvre du projet devra être présenté. Il sera un élément essentiel pour le suivi des résultats ;</w:t>
      </w:r>
    </w:p>
    <w:p w:rsidR="00B20373" w:rsidRDefault="00B20373" w:rsidP="00B20373">
      <w:pPr>
        <w:numPr>
          <w:ilvl w:val="0"/>
          <w:numId w:val="35"/>
        </w:numPr>
        <w:autoSpaceDE w:val="0"/>
        <w:autoSpaceDN w:val="0"/>
        <w:spacing w:line="240" w:lineRule="auto"/>
        <w:ind w:left="567" w:hanging="425"/>
      </w:pPr>
      <w:r>
        <w:t>Crédibilité et justification du financement demandé.</w:t>
      </w:r>
    </w:p>
    <w:p w:rsidR="00B20373" w:rsidRDefault="00B20373" w:rsidP="00B20373">
      <w:pPr>
        <w:numPr>
          <w:ilvl w:val="0"/>
          <w:numId w:val="35"/>
        </w:numPr>
        <w:autoSpaceDE w:val="0"/>
        <w:autoSpaceDN w:val="0"/>
        <w:ind w:left="567" w:hanging="425"/>
      </w:pPr>
      <w:r>
        <w:t>Capacité à mener le projet indépendamment de tout intérêt à des fins commerciales.</w:t>
      </w:r>
    </w:p>
    <w:p w:rsidR="0028312E" w:rsidRPr="008C296C" w:rsidRDefault="0028312E" w:rsidP="00DA42BC">
      <w:pPr>
        <w:pStyle w:val="Titre1"/>
      </w:pPr>
      <w:bookmarkStart w:id="115" w:name="_Toc499804636"/>
      <w:r w:rsidRPr="008C296C">
        <w:t>Dispositions générales</w:t>
      </w:r>
      <w:bookmarkEnd w:id="108"/>
      <w:bookmarkEnd w:id="109"/>
      <w:bookmarkEnd w:id="110"/>
      <w:bookmarkEnd w:id="111"/>
      <w:bookmarkEnd w:id="112"/>
      <w:bookmarkEnd w:id="113"/>
      <w:bookmarkEnd w:id="115"/>
      <w:r w:rsidRPr="008C296C">
        <w:t xml:space="preserve"> </w:t>
      </w:r>
      <w:bookmarkEnd w:id="114"/>
    </w:p>
    <w:p w:rsidR="0097498E" w:rsidRPr="008C296C" w:rsidRDefault="0097498E" w:rsidP="004B6EB6">
      <w:pPr>
        <w:pStyle w:val="Titre2"/>
      </w:pPr>
      <w:bookmarkStart w:id="116" w:name="_Toc338242430"/>
      <w:bookmarkStart w:id="117" w:name="_Toc341270885"/>
      <w:bookmarkStart w:id="118" w:name="_Toc401231656"/>
      <w:bookmarkStart w:id="119" w:name="_Toc403578771"/>
      <w:bookmarkStart w:id="120" w:name="_Toc468797919"/>
      <w:bookmarkStart w:id="121" w:name="_Toc468798611"/>
      <w:bookmarkStart w:id="122" w:name="_Toc468800097"/>
      <w:bookmarkStart w:id="123" w:name="_Toc499804637"/>
      <w:bookmarkStart w:id="124" w:name="_Toc305516400"/>
      <w:bookmarkStart w:id="125" w:name="_Toc306192224"/>
      <w:r w:rsidRPr="008C296C">
        <w:t>Financement</w:t>
      </w:r>
      <w:bookmarkEnd w:id="116"/>
      <w:bookmarkEnd w:id="117"/>
      <w:bookmarkEnd w:id="118"/>
      <w:bookmarkEnd w:id="119"/>
      <w:bookmarkEnd w:id="120"/>
      <w:bookmarkEnd w:id="121"/>
      <w:bookmarkEnd w:id="122"/>
      <w:bookmarkEnd w:id="123"/>
      <w:r w:rsidRPr="008C296C">
        <w:t xml:space="preserve"> </w:t>
      </w:r>
      <w:bookmarkEnd w:id="124"/>
      <w:bookmarkEnd w:id="125"/>
    </w:p>
    <w:p w:rsidR="00B20373" w:rsidRDefault="00B20373" w:rsidP="003174F2">
      <w:pPr>
        <w:rPr>
          <w:rFonts w:eastAsia="SimSun" w:cs="Tahoma"/>
          <w:bCs/>
        </w:rPr>
      </w:pPr>
      <w:r>
        <w:t>Le financement sera attribué par l’Institut National du Cancer, selon les dispositions du règlement relatif aux subventions allouées par l’INCa N°2018-01</w:t>
      </w:r>
      <w:r w:rsidR="002667F9">
        <w:t xml:space="preserve"> </w:t>
      </w:r>
      <w:r w:rsidR="002667F9" w:rsidRPr="00252A2B">
        <w:rPr>
          <w:rFonts w:asciiTheme="minorHAnsi" w:hAnsiTheme="minorHAnsi"/>
        </w:rPr>
        <w:t xml:space="preserve">: </w:t>
      </w:r>
      <w:hyperlink r:id="rId14" w:history="1">
        <w:r w:rsidR="00252A2B" w:rsidRPr="00252A2B">
          <w:rPr>
            <w:rStyle w:val="Lienhypertexte"/>
            <w:rFonts w:asciiTheme="minorHAnsi" w:eastAsia="SimSun" w:hAnsiTheme="minorHAnsi" w:cs="Tahoma"/>
            <w:bCs/>
            <w:sz w:val="20"/>
            <w:szCs w:val="20"/>
          </w:rPr>
          <w:t>http://www.e-cancer.fr/Institut-national-du-cancer/Appels-a-projets/Reglement-des-subventions</w:t>
        </w:r>
      </w:hyperlink>
      <w:r w:rsidR="00252A2B" w:rsidRPr="00252A2B">
        <w:rPr>
          <w:rFonts w:eastAsia="SimSun" w:cs="Tahoma"/>
          <w:bCs/>
        </w:rPr>
        <w:t xml:space="preserve"> </w:t>
      </w:r>
    </w:p>
    <w:p w:rsidR="009C02B3" w:rsidRDefault="009C02B3" w:rsidP="003174F2">
      <w:pPr>
        <w:rPr>
          <w:rFonts w:asciiTheme="minorHAnsi" w:hAnsiTheme="minorHAnsi"/>
        </w:rPr>
      </w:pPr>
    </w:p>
    <w:p w:rsidR="003174F2" w:rsidRPr="00685F8F" w:rsidRDefault="003174F2" w:rsidP="003174F2">
      <w:pPr>
        <w:rPr>
          <w:rFonts w:asciiTheme="minorHAnsi" w:hAnsiTheme="minorHAnsi"/>
        </w:rPr>
      </w:pPr>
      <w:r w:rsidRPr="00685F8F">
        <w:rPr>
          <w:rFonts w:asciiTheme="minorHAnsi" w:hAnsiTheme="minorHAnsi"/>
        </w:rPr>
        <w:t>Les participants au projet devront s’engager à respecter ce règlement en signant les engagements figurant dans le dossier (rubrique « engagements » du dossier du projet finalisé).</w:t>
      </w:r>
    </w:p>
    <w:p w:rsidR="003174F2" w:rsidRPr="00685F8F" w:rsidRDefault="003174F2" w:rsidP="003174F2">
      <w:pPr>
        <w:spacing w:before="120"/>
        <w:rPr>
          <w:rFonts w:asciiTheme="minorHAnsi" w:hAnsiTheme="minorHAnsi"/>
        </w:rPr>
      </w:pPr>
      <w:r w:rsidRPr="00685F8F">
        <w:rPr>
          <w:rFonts w:asciiTheme="minorHAnsi" w:hAnsiTheme="minorHAnsi"/>
        </w:rPr>
        <w:t>Ces engagements concernent :</w:t>
      </w:r>
    </w:p>
    <w:p w:rsidR="003174F2" w:rsidRPr="00685F8F" w:rsidRDefault="003174F2" w:rsidP="003174F2">
      <w:pPr>
        <w:pStyle w:val="Paragraphedeliste"/>
        <w:numPr>
          <w:ilvl w:val="0"/>
          <w:numId w:val="31"/>
        </w:numPr>
        <w:spacing w:line="240" w:lineRule="auto"/>
        <w:rPr>
          <w:rFonts w:asciiTheme="minorHAnsi" w:hAnsiTheme="minorHAnsi"/>
        </w:rPr>
      </w:pPr>
      <w:r>
        <w:rPr>
          <w:rFonts w:asciiTheme="minorHAnsi" w:hAnsiTheme="minorHAnsi"/>
        </w:rPr>
        <w:t>l</w:t>
      </w:r>
      <w:r w:rsidRPr="00685F8F">
        <w:rPr>
          <w:rFonts w:asciiTheme="minorHAnsi" w:hAnsiTheme="minorHAnsi"/>
        </w:rPr>
        <w:t>e représentant légal de l’organisme bénéficiaire de la subvention INCa ;</w:t>
      </w:r>
    </w:p>
    <w:p w:rsidR="003174F2" w:rsidRPr="00685F8F" w:rsidRDefault="003174F2" w:rsidP="003174F2">
      <w:pPr>
        <w:pStyle w:val="Paragraphedeliste"/>
        <w:numPr>
          <w:ilvl w:val="0"/>
          <w:numId w:val="31"/>
        </w:numPr>
        <w:spacing w:before="120" w:line="240" w:lineRule="auto"/>
        <w:ind w:left="714" w:hanging="357"/>
        <w:contextualSpacing w:val="0"/>
        <w:rPr>
          <w:rFonts w:asciiTheme="minorHAnsi" w:hAnsiTheme="minorHAnsi"/>
        </w:rPr>
      </w:pPr>
      <w:r>
        <w:rPr>
          <w:rFonts w:asciiTheme="minorHAnsi" w:hAnsiTheme="minorHAnsi"/>
        </w:rPr>
        <w:t>l</w:t>
      </w:r>
      <w:r w:rsidRPr="00685F8F">
        <w:rPr>
          <w:rFonts w:asciiTheme="minorHAnsi" w:hAnsiTheme="minorHAnsi"/>
        </w:rPr>
        <w:t>e coordonnateur du projet ;</w:t>
      </w:r>
    </w:p>
    <w:p w:rsidR="003174F2" w:rsidRPr="00685F8F" w:rsidRDefault="003174F2" w:rsidP="003174F2">
      <w:pPr>
        <w:pStyle w:val="Paragraphedeliste"/>
        <w:numPr>
          <w:ilvl w:val="0"/>
          <w:numId w:val="31"/>
        </w:numPr>
        <w:spacing w:before="120" w:line="240" w:lineRule="auto"/>
        <w:ind w:left="714" w:hanging="357"/>
        <w:contextualSpacing w:val="0"/>
        <w:rPr>
          <w:rFonts w:asciiTheme="minorHAnsi" w:hAnsiTheme="minorHAnsi"/>
        </w:rPr>
      </w:pPr>
      <w:r>
        <w:rPr>
          <w:rFonts w:asciiTheme="minorHAnsi" w:hAnsiTheme="minorHAnsi"/>
        </w:rPr>
        <w:t>l</w:t>
      </w:r>
      <w:r w:rsidRPr="00685F8F">
        <w:rPr>
          <w:rFonts w:asciiTheme="minorHAnsi" w:hAnsiTheme="minorHAnsi"/>
        </w:rPr>
        <w:t>e représentant légal de chaque organisme bénéficiant de reversement au titre d’une équipe participante (uniquement si versement de fonds) ;</w:t>
      </w:r>
    </w:p>
    <w:p w:rsidR="003174F2" w:rsidRPr="00685F8F" w:rsidRDefault="003174F2" w:rsidP="003174F2">
      <w:pPr>
        <w:pStyle w:val="Paragraphedeliste"/>
        <w:numPr>
          <w:ilvl w:val="0"/>
          <w:numId w:val="31"/>
        </w:numPr>
        <w:spacing w:before="120" w:line="240" w:lineRule="auto"/>
        <w:ind w:left="714" w:hanging="357"/>
        <w:contextualSpacing w:val="0"/>
        <w:rPr>
          <w:rFonts w:asciiTheme="minorHAnsi" w:hAnsiTheme="minorHAnsi"/>
        </w:rPr>
      </w:pPr>
      <w:r>
        <w:rPr>
          <w:rFonts w:asciiTheme="minorHAnsi" w:hAnsiTheme="minorHAnsi"/>
        </w:rPr>
        <w:t>l</w:t>
      </w:r>
      <w:r w:rsidRPr="00685F8F">
        <w:rPr>
          <w:rFonts w:asciiTheme="minorHAnsi" w:hAnsiTheme="minorHAnsi"/>
        </w:rPr>
        <w:t>e responsable d’équipe participante dans tous les cas.</w:t>
      </w:r>
    </w:p>
    <w:p w:rsidR="00C41FB8" w:rsidRPr="008C296C" w:rsidRDefault="00C41FB8" w:rsidP="005C11B0">
      <w:pPr>
        <w:pStyle w:val="Default"/>
        <w:ind w:right="-20"/>
        <w:jc w:val="both"/>
        <w:rPr>
          <w:rFonts w:ascii="Calibri" w:hAnsi="Calibri"/>
          <w:sz w:val="22"/>
        </w:rPr>
      </w:pPr>
      <w:bookmarkStart w:id="126" w:name="_GoBack"/>
      <w:bookmarkEnd w:id="126"/>
    </w:p>
    <w:p w:rsidR="00E01A32" w:rsidRDefault="00B43F7E" w:rsidP="005C11B0">
      <w:pPr>
        <w:pStyle w:val="Default"/>
        <w:jc w:val="both"/>
        <w:rPr>
          <w:rFonts w:ascii="Calibri" w:hAnsi="Calibri"/>
          <w:color w:val="auto"/>
          <w:sz w:val="22"/>
        </w:rPr>
      </w:pPr>
      <w:r>
        <w:rPr>
          <w:rFonts w:ascii="Calibri" w:hAnsi="Calibri"/>
          <w:color w:val="auto"/>
          <w:sz w:val="22"/>
        </w:rPr>
        <w:t>Conformément à l’article 5.4 du Règlement 2018-01, les dépenses éligibles à la subvention constituent les coûts admissibles par l’Institut.</w:t>
      </w:r>
      <w:r w:rsidRPr="00B43F7E">
        <w:rPr>
          <w:rFonts w:ascii="Calibri" w:hAnsi="Calibri"/>
          <w:color w:val="auto"/>
          <w:sz w:val="22"/>
        </w:rPr>
        <w:t xml:space="preserve"> </w:t>
      </w:r>
      <w:r>
        <w:rPr>
          <w:rFonts w:ascii="Calibri" w:hAnsi="Calibri"/>
          <w:color w:val="auto"/>
          <w:sz w:val="22"/>
        </w:rPr>
        <w:t>Dans ce cadre, l</w:t>
      </w:r>
      <w:r w:rsidRPr="008C296C">
        <w:rPr>
          <w:rFonts w:ascii="Calibri" w:hAnsi="Calibri"/>
          <w:color w:val="auto"/>
          <w:sz w:val="22"/>
        </w:rPr>
        <w:t xml:space="preserve">a </w:t>
      </w:r>
      <w:r w:rsidR="00E01A32" w:rsidRPr="008C296C">
        <w:rPr>
          <w:rFonts w:ascii="Calibri" w:hAnsi="Calibri"/>
          <w:color w:val="auto"/>
          <w:sz w:val="22"/>
        </w:rPr>
        <w:t>subvention INCa pourra</w:t>
      </w:r>
      <w:r w:rsidR="00A24897">
        <w:rPr>
          <w:rFonts w:ascii="Calibri" w:hAnsi="Calibri"/>
          <w:color w:val="auto"/>
          <w:sz w:val="22"/>
        </w:rPr>
        <w:t xml:space="preserve"> notamment</w:t>
      </w:r>
      <w:r w:rsidR="00E01A32" w:rsidRPr="008C296C">
        <w:rPr>
          <w:rFonts w:ascii="Calibri" w:hAnsi="Calibri"/>
          <w:color w:val="auto"/>
          <w:sz w:val="22"/>
        </w:rPr>
        <w:t xml:space="preserve"> financer :</w:t>
      </w:r>
    </w:p>
    <w:p w:rsidR="006D219D" w:rsidRPr="00B400DD" w:rsidRDefault="006D219D" w:rsidP="006D219D">
      <w:pPr>
        <w:pStyle w:val="Default"/>
        <w:numPr>
          <w:ilvl w:val="0"/>
          <w:numId w:val="4"/>
        </w:numPr>
        <w:ind w:right="-20"/>
        <w:jc w:val="both"/>
        <w:rPr>
          <w:rFonts w:ascii="Calibri" w:hAnsi="Calibri"/>
          <w:color w:val="auto"/>
          <w:sz w:val="22"/>
        </w:rPr>
      </w:pPr>
      <w:r w:rsidRPr="008C296C">
        <w:rPr>
          <w:rFonts w:ascii="Calibri" w:hAnsi="Calibri"/>
          <w:color w:val="auto"/>
          <w:sz w:val="22"/>
        </w:rPr>
        <w:t>des frais de personnel (</w:t>
      </w:r>
      <w:r w:rsidRPr="008C296C">
        <w:rPr>
          <w:rFonts w:ascii="Calibri" w:hAnsi="Calibri"/>
          <w:sz w:val="22"/>
        </w:rPr>
        <w:t>le personnel permanent peut être imputé sur les dépenses éligibles du projet à l'exclusion des fonctionnaires d'état, hospitaliers ou territoriaux).</w:t>
      </w:r>
      <w:r w:rsidRPr="008C296C">
        <w:rPr>
          <w:rFonts w:ascii="Calibri" w:hAnsi="Calibri"/>
          <w:color w:val="auto"/>
          <w:sz w:val="22"/>
        </w:rPr>
        <w:t xml:space="preserve"> </w:t>
      </w:r>
      <w:r w:rsidRPr="008C296C">
        <w:rPr>
          <w:rFonts w:ascii="Calibri" w:hAnsi="Calibri"/>
          <w:sz w:val="22"/>
        </w:rPr>
        <w:t xml:space="preserve">Le financement de post-doctorants peut être demandé; celui de doctorants n’est en revanche pas éligible; </w:t>
      </w:r>
    </w:p>
    <w:p w:rsidR="006D219D" w:rsidRPr="001B5DB6" w:rsidRDefault="006D219D" w:rsidP="00B43F7E">
      <w:pPr>
        <w:pStyle w:val="Paragraphedeliste"/>
        <w:numPr>
          <w:ilvl w:val="0"/>
          <w:numId w:val="4"/>
        </w:numPr>
        <w:rPr>
          <w:rFonts w:cs="Tahoma"/>
          <w:color w:val="000000"/>
        </w:rPr>
      </w:pPr>
      <w:r>
        <w:rPr>
          <w:rFonts w:cs="Tahoma"/>
          <w:color w:val="000000"/>
        </w:rPr>
        <w:t>d</w:t>
      </w:r>
      <w:r w:rsidRPr="001B5DB6">
        <w:rPr>
          <w:rFonts w:cs="Tahoma"/>
          <w:color w:val="000000"/>
        </w:rPr>
        <w:t>es frais de fonctionnement</w:t>
      </w:r>
      <w:r w:rsidR="00B43F7E">
        <w:rPr>
          <w:rFonts w:cs="Tahoma"/>
          <w:color w:val="000000"/>
        </w:rPr>
        <w:t xml:space="preserve"> (consommables, </w:t>
      </w:r>
      <w:r w:rsidR="00B43F7E" w:rsidRPr="00B43F7E">
        <w:rPr>
          <w:rFonts w:cs="Tahoma"/>
          <w:color w:val="000000"/>
        </w:rPr>
        <w:t>frais de déplacement ou de missions des personnels permanents ou temporaires affectés au projet</w:t>
      </w:r>
      <w:r w:rsidR="00B43F7E">
        <w:rPr>
          <w:rFonts w:cs="Tahoma"/>
          <w:color w:val="000000"/>
        </w:rPr>
        <w:t xml:space="preserve">, prestations de services </w:t>
      </w:r>
      <w:proofErr w:type="spellStart"/>
      <w:r w:rsidR="00B43F7E">
        <w:rPr>
          <w:rFonts w:cs="Tahoma"/>
          <w:color w:val="000000"/>
        </w:rPr>
        <w:t>etc</w:t>
      </w:r>
      <w:proofErr w:type="spellEnd"/>
      <w:r w:rsidR="00B43F7E">
        <w:rPr>
          <w:rFonts w:cs="Tahoma"/>
          <w:color w:val="000000"/>
        </w:rPr>
        <w:t>)</w:t>
      </w:r>
      <w:r>
        <w:rPr>
          <w:rFonts w:cs="Tahoma"/>
          <w:color w:val="000000"/>
        </w:rPr>
        <w:t> ;</w:t>
      </w:r>
      <w:r w:rsidRPr="001B5DB6">
        <w:rPr>
          <w:rFonts w:cs="Tahoma"/>
          <w:color w:val="000000"/>
        </w:rPr>
        <w:t xml:space="preserve"> </w:t>
      </w:r>
    </w:p>
    <w:p w:rsidR="006D219D" w:rsidRPr="008C296C" w:rsidRDefault="006D219D" w:rsidP="006D219D">
      <w:pPr>
        <w:pStyle w:val="Default"/>
        <w:numPr>
          <w:ilvl w:val="0"/>
          <w:numId w:val="4"/>
        </w:numPr>
        <w:ind w:right="-20"/>
        <w:jc w:val="both"/>
        <w:rPr>
          <w:rFonts w:ascii="Calibri" w:hAnsi="Calibri"/>
          <w:color w:val="auto"/>
          <w:sz w:val="22"/>
        </w:rPr>
      </w:pPr>
      <w:r w:rsidRPr="008C296C">
        <w:rPr>
          <w:rFonts w:ascii="Calibri" w:hAnsi="Calibri"/>
          <w:color w:val="auto"/>
          <w:sz w:val="22"/>
        </w:rPr>
        <w:t>de l’équipement pour un montant inférieur à 150 K€ TTC. Ce seuil de 150K€ s’applique par achat unitaire d’équipement et non pas sur le montant total des dépenses d’équipement. De plus, le montant total des dépenses d’équipement ne pourra être supérieur à 30 % du montant de la subvention allouée par l’INCa ;</w:t>
      </w:r>
    </w:p>
    <w:p w:rsidR="006D219D" w:rsidRPr="008C296C" w:rsidRDefault="006D219D" w:rsidP="006D219D">
      <w:pPr>
        <w:pStyle w:val="Default"/>
        <w:numPr>
          <w:ilvl w:val="0"/>
          <w:numId w:val="4"/>
        </w:numPr>
        <w:ind w:right="-20"/>
        <w:jc w:val="both"/>
        <w:rPr>
          <w:rFonts w:ascii="Calibri" w:hAnsi="Calibri"/>
          <w:color w:val="auto"/>
          <w:sz w:val="22"/>
        </w:rPr>
      </w:pPr>
      <w:r w:rsidRPr="008C296C">
        <w:rPr>
          <w:rFonts w:ascii="Calibri" w:hAnsi="Calibri"/>
          <w:color w:val="auto"/>
          <w:sz w:val="22"/>
        </w:rPr>
        <w:t>des frais de gestion, montant éligible s'élevant à un maximum de 4%  des dépenses éligibles INCa effectivement payées (personnel, fonctionnement, équipement).</w:t>
      </w:r>
    </w:p>
    <w:p w:rsidR="006D219D" w:rsidRPr="008C296C" w:rsidRDefault="006D219D" w:rsidP="005C11B0">
      <w:pPr>
        <w:pStyle w:val="Default"/>
        <w:jc w:val="both"/>
        <w:rPr>
          <w:rFonts w:ascii="Calibri" w:hAnsi="Calibri"/>
          <w:color w:val="auto"/>
          <w:sz w:val="22"/>
        </w:rPr>
      </w:pPr>
    </w:p>
    <w:p w:rsidR="000F681F" w:rsidRPr="008C296C" w:rsidRDefault="000F681F" w:rsidP="005C11B0">
      <w:pPr>
        <w:pStyle w:val="Default"/>
        <w:ind w:right="-20"/>
        <w:jc w:val="both"/>
        <w:rPr>
          <w:rFonts w:ascii="Calibri" w:hAnsi="Calibri"/>
          <w:color w:val="auto"/>
          <w:sz w:val="22"/>
        </w:rPr>
      </w:pPr>
      <w:r w:rsidRPr="008C296C">
        <w:rPr>
          <w:rFonts w:ascii="Calibri" w:hAnsi="Calibri"/>
          <w:color w:val="auto"/>
          <w:sz w:val="22"/>
        </w:rPr>
        <w:t>Les postes budgétaires sont fongibles pendant l’exécution du projet</w:t>
      </w:r>
      <w:r w:rsidR="00FD0804" w:rsidRPr="008C296C">
        <w:rPr>
          <w:rFonts w:ascii="Calibri" w:hAnsi="Calibri"/>
          <w:color w:val="auto"/>
          <w:sz w:val="22"/>
        </w:rPr>
        <w:t>.</w:t>
      </w:r>
    </w:p>
    <w:p w:rsidR="009C02B3" w:rsidRDefault="0028312E" w:rsidP="00DA42BC">
      <w:pPr>
        <w:rPr>
          <w:rFonts w:eastAsiaTheme="majorEastAsia" w:cs="Tahoma"/>
          <w:b/>
          <w:bCs/>
        </w:rPr>
      </w:pPr>
      <w:r w:rsidRPr="008C296C">
        <w:rPr>
          <w:rFonts w:cs="Tahoma"/>
        </w:rPr>
        <w:t>Le financement attribué n’a pas pour vocation à participer au fonctionne</w:t>
      </w:r>
      <w:r w:rsidR="00FD0804" w:rsidRPr="008C296C">
        <w:rPr>
          <w:rFonts w:cs="Tahoma"/>
        </w:rPr>
        <w:t xml:space="preserve">ment structurel de </w:t>
      </w:r>
      <w:r w:rsidR="00CB1B48" w:rsidRPr="008C296C">
        <w:rPr>
          <w:rFonts w:cs="Tahoma"/>
        </w:rPr>
        <w:t xml:space="preserve">l’organisme. L’Inca se réserve la possibilité de ne pas financer la totalité du projet soumis. </w:t>
      </w:r>
      <w:bookmarkStart w:id="127" w:name="_Toc341270886"/>
      <w:bookmarkStart w:id="128" w:name="_Toc341270887"/>
      <w:bookmarkStart w:id="129" w:name="_Toc401231657"/>
      <w:bookmarkStart w:id="130" w:name="_Toc403578772"/>
      <w:bookmarkStart w:id="131" w:name="_Toc468797920"/>
      <w:bookmarkStart w:id="132" w:name="_Toc468798612"/>
      <w:bookmarkStart w:id="133" w:name="_Toc468800098"/>
      <w:bookmarkStart w:id="134" w:name="_Toc499804638"/>
      <w:bookmarkEnd w:id="127"/>
      <w:r w:rsidR="009C02B3">
        <w:br w:type="page"/>
      </w:r>
    </w:p>
    <w:p w:rsidR="0097498E" w:rsidRPr="008C296C" w:rsidRDefault="008D7499" w:rsidP="004B6EB6">
      <w:pPr>
        <w:pStyle w:val="Titre2"/>
      </w:pPr>
      <w:r w:rsidRPr="008C296C">
        <w:lastRenderedPageBreak/>
        <w:t>Communication</w:t>
      </w:r>
      <w:bookmarkEnd w:id="128"/>
      <w:bookmarkEnd w:id="129"/>
      <w:bookmarkEnd w:id="130"/>
      <w:bookmarkEnd w:id="131"/>
      <w:bookmarkEnd w:id="132"/>
      <w:bookmarkEnd w:id="133"/>
      <w:bookmarkEnd w:id="134"/>
    </w:p>
    <w:p w:rsidR="00F7713B" w:rsidRDefault="0097498E" w:rsidP="005C11B0">
      <w:pPr>
        <w:pStyle w:val="NormalWeb"/>
        <w:shd w:val="clear" w:color="auto" w:fill="FFFFFF"/>
        <w:spacing w:before="0" w:beforeAutospacing="0" w:after="0" w:afterAutospacing="0"/>
        <w:rPr>
          <w:rFonts w:ascii="Calibri" w:hAnsi="Calibri" w:cs="Tahoma"/>
        </w:rPr>
      </w:pPr>
      <w:r w:rsidRPr="008C296C">
        <w:rPr>
          <w:rFonts w:ascii="Calibri" w:hAnsi="Calibri" w:cs="Tahoma"/>
        </w:rPr>
        <w:t>Toute communication écrite ou orale concernant les travaux des projets subventionnées devra obligatoirement mentionner la référence de l’INCa, cette référence comportera un numéro qui sera communiqué lors de l’acceptation du projet.</w:t>
      </w:r>
    </w:p>
    <w:p w:rsidR="0045256B" w:rsidRPr="008C296C" w:rsidRDefault="0028312E" w:rsidP="00DA42BC">
      <w:pPr>
        <w:pStyle w:val="Titre1"/>
      </w:pPr>
      <w:bookmarkStart w:id="135" w:name="_Toc341270888"/>
      <w:bookmarkStart w:id="136" w:name="_Toc341270889"/>
      <w:bookmarkStart w:id="137" w:name="_Toc401231658"/>
      <w:bookmarkStart w:id="138" w:name="_Toc403578773"/>
      <w:bookmarkStart w:id="139" w:name="_Toc468797921"/>
      <w:bookmarkStart w:id="140" w:name="_Toc468798613"/>
      <w:bookmarkStart w:id="141" w:name="_Toc468800099"/>
      <w:bookmarkStart w:id="142" w:name="_Toc499804639"/>
      <w:bookmarkEnd w:id="135"/>
      <w:r w:rsidRPr="008C296C">
        <w:t>Calendrier de l’appel à projets et de la sélection</w:t>
      </w:r>
      <w:bookmarkEnd w:id="136"/>
      <w:bookmarkEnd w:id="137"/>
      <w:bookmarkEnd w:id="138"/>
      <w:bookmarkEnd w:id="139"/>
      <w:bookmarkEnd w:id="140"/>
      <w:bookmarkEnd w:id="141"/>
      <w:bookmarkEnd w:id="142"/>
      <w:r w:rsidR="00824359" w:rsidRPr="008C296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962"/>
        <w:gridCol w:w="2204"/>
      </w:tblGrid>
      <w:tr w:rsidR="00713ED3" w:rsidRPr="008C296C" w:rsidTr="007C65BE">
        <w:trPr>
          <w:trHeight w:val="20"/>
        </w:trPr>
        <w:tc>
          <w:tcPr>
            <w:tcW w:w="1245" w:type="pct"/>
            <w:vAlign w:val="center"/>
          </w:tcPr>
          <w:p w:rsidR="00713ED3" w:rsidRPr="008C296C" w:rsidRDefault="00713ED3" w:rsidP="00A83E4F">
            <w:pPr>
              <w:jc w:val="left"/>
              <w:rPr>
                <w:rFonts w:cs="Tahoma"/>
                <w:b/>
              </w:rPr>
            </w:pPr>
            <w:r w:rsidRPr="008C296C">
              <w:rPr>
                <w:rFonts w:cs="Tahoma"/>
                <w:b/>
              </w:rPr>
              <w:t xml:space="preserve">Date de lancement de l’appel à projets </w:t>
            </w:r>
          </w:p>
        </w:tc>
        <w:tc>
          <w:tcPr>
            <w:tcW w:w="3755" w:type="pct"/>
            <w:gridSpan w:val="2"/>
            <w:vAlign w:val="center"/>
          </w:tcPr>
          <w:p w:rsidR="00B65841" w:rsidRPr="008C296C" w:rsidRDefault="00F622C4" w:rsidP="0015458F">
            <w:pPr>
              <w:jc w:val="center"/>
              <w:rPr>
                <w:rFonts w:cs="Tahoma"/>
                <w:b/>
              </w:rPr>
            </w:pPr>
            <w:r>
              <w:rPr>
                <w:rFonts w:cs="Tahoma"/>
                <w:b/>
              </w:rPr>
              <w:t>Janvier 2018</w:t>
            </w:r>
          </w:p>
        </w:tc>
      </w:tr>
      <w:tr w:rsidR="006D219D" w:rsidRPr="008C296C" w:rsidTr="007C65BE">
        <w:trPr>
          <w:trHeight w:val="20"/>
        </w:trPr>
        <w:tc>
          <w:tcPr>
            <w:tcW w:w="1245" w:type="pct"/>
            <w:vAlign w:val="center"/>
          </w:tcPr>
          <w:p w:rsidR="006D219D" w:rsidRPr="008C296C" w:rsidRDefault="006D219D" w:rsidP="00A83E4F">
            <w:pPr>
              <w:jc w:val="left"/>
              <w:rPr>
                <w:rFonts w:cs="Tahoma"/>
                <w:b/>
              </w:rPr>
            </w:pPr>
            <w:r w:rsidRPr="008C296C">
              <w:rPr>
                <w:rFonts w:cs="Tahoma"/>
                <w:b/>
              </w:rPr>
              <w:t xml:space="preserve">Date limite de soumission du dossier de candidature </w:t>
            </w:r>
          </w:p>
        </w:tc>
        <w:tc>
          <w:tcPr>
            <w:tcW w:w="2600" w:type="pct"/>
            <w:vAlign w:val="center"/>
          </w:tcPr>
          <w:p w:rsidR="006D219D" w:rsidRPr="008C296C" w:rsidRDefault="006D219D" w:rsidP="00093B5B">
            <w:pPr>
              <w:rPr>
                <w:rFonts w:cs="Tahoma"/>
              </w:rPr>
            </w:pPr>
            <w:r w:rsidRPr="008C296C">
              <w:rPr>
                <w:rFonts w:cs="Tahoma"/>
                <w:b/>
              </w:rPr>
              <w:t>Soumission en ligne</w:t>
            </w:r>
            <w:r w:rsidRPr="008C296C">
              <w:rPr>
                <w:rFonts w:cs="Tahoma"/>
              </w:rPr>
              <w:t xml:space="preserve"> du dossier électronique :</w:t>
            </w:r>
          </w:p>
          <w:p w:rsidR="006D219D" w:rsidRPr="007C65BE" w:rsidRDefault="00904C63" w:rsidP="00093B5B">
            <w:pPr>
              <w:rPr>
                <w:rFonts w:cs="Tahoma"/>
                <w:b/>
                <w:color w:val="CC3300"/>
              </w:rPr>
            </w:pPr>
            <w:hyperlink r:id="rId15" w:history="1"/>
          </w:p>
          <w:p w:rsidR="006D219D" w:rsidRPr="008C296C" w:rsidRDefault="006D219D" w:rsidP="00093B5B">
            <w:pPr>
              <w:rPr>
                <w:rFonts w:cs="Tahoma"/>
              </w:rPr>
            </w:pPr>
            <w:r w:rsidRPr="008C296C">
              <w:rPr>
                <w:rFonts w:cs="Tahoma"/>
                <w:b/>
              </w:rPr>
              <w:t>Envoi papier</w:t>
            </w:r>
            <w:r w:rsidRPr="008C296C">
              <w:rPr>
                <w:rFonts w:cs="Tahoma"/>
              </w:rPr>
              <w:t xml:space="preserve"> (un original intégrant les signatures) :</w:t>
            </w:r>
          </w:p>
          <w:p w:rsidR="006D219D" w:rsidRDefault="006D219D" w:rsidP="00093B5B">
            <w:pPr>
              <w:pStyle w:val="Paragraphedeliste"/>
              <w:ind w:left="34"/>
              <w:rPr>
                <w:rFonts w:cs="Tahoma"/>
              </w:rPr>
            </w:pPr>
            <w:r w:rsidRPr="00BF3A23">
              <w:rPr>
                <w:rFonts w:cs="Tahoma"/>
                <w:b/>
              </w:rPr>
              <w:t>courrier postal</w:t>
            </w:r>
            <w:r w:rsidRPr="008C296C">
              <w:rPr>
                <w:rFonts w:cs="Tahoma"/>
              </w:rPr>
              <w:t xml:space="preserve"> le cachet de la poste faisant foi ;</w:t>
            </w:r>
            <w:r>
              <w:rPr>
                <w:rFonts w:cs="Tahoma"/>
              </w:rPr>
              <w:t xml:space="preserve"> </w:t>
            </w:r>
            <w:r w:rsidRPr="00BF3A23">
              <w:rPr>
                <w:rFonts w:cs="Tahoma"/>
                <w:b/>
              </w:rPr>
              <w:t>ou livraison sur place</w:t>
            </w:r>
            <w:r w:rsidRPr="008C296C">
              <w:rPr>
                <w:rFonts w:cs="Tahoma"/>
              </w:rPr>
              <w:t xml:space="preserve"> aux heures de bureau à</w:t>
            </w:r>
          </w:p>
          <w:p w:rsidR="006D219D" w:rsidRDefault="006D219D" w:rsidP="00093B5B">
            <w:pPr>
              <w:pStyle w:val="Paragraphedeliste"/>
              <w:ind w:left="34"/>
              <w:rPr>
                <w:rFonts w:cs="Tahoma"/>
              </w:rPr>
            </w:pPr>
          </w:p>
          <w:p w:rsidR="006D219D" w:rsidRDefault="006D219D" w:rsidP="00093B5B">
            <w:pPr>
              <w:pStyle w:val="Paragraphedeliste"/>
              <w:ind w:left="34"/>
              <w:jc w:val="center"/>
              <w:rPr>
                <w:rFonts w:cs="Tahoma"/>
                <w:b/>
              </w:rPr>
            </w:pPr>
            <w:r>
              <w:rPr>
                <w:rFonts w:cs="Tahoma"/>
                <w:b/>
              </w:rPr>
              <w:t>Institut national du cancer</w:t>
            </w:r>
          </w:p>
          <w:p w:rsidR="006D219D" w:rsidRPr="00BF3A23" w:rsidRDefault="006D219D" w:rsidP="00093B5B">
            <w:pPr>
              <w:pStyle w:val="Paragraphedeliste"/>
              <w:ind w:left="34"/>
              <w:jc w:val="center"/>
              <w:rPr>
                <w:rFonts w:cs="Tahoma"/>
                <w:b/>
              </w:rPr>
            </w:pPr>
            <w:r w:rsidRPr="00BF3A23">
              <w:rPr>
                <w:rFonts w:cs="Tahoma"/>
                <w:b/>
              </w:rPr>
              <w:t xml:space="preserve">AAP DEPREV </w:t>
            </w:r>
            <w:r w:rsidR="009F2CB9">
              <w:rPr>
                <w:rFonts w:cs="Tahoma"/>
                <w:b/>
              </w:rPr>
              <w:t>2018</w:t>
            </w:r>
          </w:p>
          <w:p w:rsidR="006D219D" w:rsidRPr="008C296C" w:rsidRDefault="006D219D" w:rsidP="00706B04">
            <w:pPr>
              <w:ind w:left="1168"/>
              <w:rPr>
                <w:rFonts w:cs="Tahoma"/>
              </w:rPr>
            </w:pPr>
            <w:r w:rsidRPr="008C296C">
              <w:rPr>
                <w:rFonts w:cs="Tahoma"/>
              </w:rPr>
              <w:t>52 avenue André Morizet,</w:t>
            </w:r>
          </w:p>
          <w:p w:rsidR="006D219D" w:rsidRPr="008C296C" w:rsidRDefault="006D219D" w:rsidP="00706B04">
            <w:pPr>
              <w:ind w:left="1168"/>
              <w:rPr>
                <w:rFonts w:cs="Tahoma"/>
              </w:rPr>
            </w:pPr>
            <w:r w:rsidRPr="008C296C">
              <w:rPr>
                <w:rFonts w:cs="Tahoma"/>
              </w:rPr>
              <w:t>92513 Boulogne- Billancourt</w:t>
            </w:r>
            <w:r>
              <w:rPr>
                <w:rFonts w:cs="Tahoma"/>
              </w:rPr>
              <w:t xml:space="preserve"> Cedex</w:t>
            </w:r>
          </w:p>
        </w:tc>
        <w:tc>
          <w:tcPr>
            <w:tcW w:w="1155" w:type="pct"/>
            <w:vAlign w:val="center"/>
          </w:tcPr>
          <w:p w:rsidR="00BF6D34" w:rsidRPr="00A83E4F" w:rsidRDefault="00BF6D34" w:rsidP="00260B9C">
            <w:pPr>
              <w:jc w:val="center"/>
              <w:rPr>
                <w:rFonts w:cs="Tahoma"/>
                <w:b/>
                <w:sz w:val="28"/>
              </w:rPr>
            </w:pPr>
            <w:r w:rsidRPr="00A83E4F">
              <w:rPr>
                <w:rFonts w:cs="Tahoma"/>
                <w:b/>
                <w:sz w:val="28"/>
              </w:rPr>
              <w:t>7 mars</w:t>
            </w:r>
            <w:r w:rsidR="009F2CB9" w:rsidRPr="00A83E4F">
              <w:rPr>
                <w:rFonts w:cs="Tahoma"/>
                <w:b/>
                <w:sz w:val="28"/>
              </w:rPr>
              <w:t xml:space="preserve"> 201</w:t>
            </w:r>
            <w:r w:rsidR="00714410" w:rsidRPr="00A83E4F">
              <w:rPr>
                <w:rFonts w:cs="Tahoma"/>
                <w:b/>
                <w:sz w:val="28"/>
              </w:rPr>
              <w:t>8</w:t>
            </w:r>
            <w:r w:rsidR="006D219D" w:rsidRPr="00A83E4F">
              <w:rPr>
                <w:rFonts w:cs="Tahoma"/>
                <w:b/>
                <w:sz w:val="28"/>
              </w:rPr>
              <w:t xml:space="preserve"> </w:t>
            </w:r>
          </w:p>
          <w:p w:rsidR="006D219D" w:rsidRPr="008C296C" w:rsidRDefault="006D219D" w:rsidP="00260B9C">
            <w:pPr>
              <w:jc w:val="center"/>
              <w:rPr>
                <w:rFonts w:cs="Tahoma"/>
                <w:b/>
              </w:rPr>
            </w:pPr>
            <w:r w:rsidRPr="00714410">
              <w:rPr>
                <w:rFonts w:cs="Tahoma"/>
                <w:b/>
              </w:rPr>
              <w:t>(minuit)</w:t>
            </w:r>
          </w:p>
        </w:tc>
      </w:tr>
      <w:tr w:rsidR="00713ED3" w:rsidRPr="008C296C" w:rsidTr="007C65BE">
        <w:trPr>
          <w:trHeight w:val="20"/>
        </w:trPr>
        <w:tc>
          <w:tcPr>
            <w:tcW w:w="1245" w:type="pct"/>
            <w:vAlign w:val="center"/>
          </w:tcPr>
          <w:p w:rsidR="00713ED3" w:rsidRPr="008C296C" w:rsidRDefault="00713ED3" w:rsidP="00A83E4F">
            <w:pPr>
              <w:jc w:val="left"/>
              <w:rPr>
                <w:rFonts w:cs="Tahoma"/>
                <w:b/>
              </w:rPr>
            </w:pPr>
            <w:r w:rsidRPr="008C296C">
              <w:rPr>
                <w:rFonts w:cs="Tahoma"/>
                <w:b/>
              </w:rPr>
              <w:t>Comité d’évaluation </w:t>
            </w:r>
          </w:p>
        </w:tc>
        <w:tc>
          <w:tcPr>
            <w:tcW w:w="3755" w:type="pct"/>
            <w:gridSpan w:val="2"/>
            <w:vAlign w:val="center"/>
          </w:tcPr>
          <w:p w:rsidR="00713ED3" w:rsidRPr="00330E26" w:rsidRDefault="00EF621B" w:rsidP="00B91F06">
            <w:pPr>
              <w:jc w:val="center"/>
              <w:rPr>
                <w:rFonts w:cs="Tahoma"/>
                <w:b/>
              </w:rPr>
            </w:pPr>
            <w:r w:rsidRPr="00330E26">
              <w:rPr>
                <w:rFonts w:cs="Tahoma"/>
                <w:b/>
              </w:rPr>
              <w:t xml:space="preserve"> </w:t>
            </w:r>
            <w:r w:rsidR="00032B37" w:rsidRPr="00330E26">
              <w:rPr>
                <w:rFonts w:cs="Tahoma"/>
                <w:b/>
              </w:rPr>
              <w:t>J</w:t>
            </w:r>
            <w:r w:rsidRPr="00330E26">
              <w:rPr>
                <w:rFonts w:cs="Tahoma"/>
                <w:b/>
              </w:rPr>
              <w:t>uin</w:t>
            </w:r>
            <w:r w:rsidR="00032B37">
              <w:rPr>
                <w:rFonts w:cs="Tahoma"/>
                <w:b/>
              </w:rPr>
              <w:t xml:space="preserve"> </w:t>
            </w:r>
            <w:r w:rsidR="00B91F06" w:rsidRPr="00330E26">
              <w:rPr>
                <w:rFonts w:cs="Tahoma"/>
                <w:b/>
              </w:rPr>
              <w:t>201</w:t>
            </w:r>
            <w:r w:rsidR="009F2CB9">
              <w:rPr>
                <w:rFonts w:cs="Tahoma"/>
                <w:b/>
              </w:rPr>
              <w:t>8</w:t>
            </w:r>
          </w:p>
        </w:tc>
      </w:tr>
      <w:tr w:rsidR="00713ED3" w:rsidRPr="008C296C" w:rsidTr="007C65BE">
        <w:trPr>
          <w:trHeight w:val="20"/>
        </w:trPr>
        <w:tc>
          <w:tcPr>
            <w:tcW w:w="1245" w:type="pct"/>
            <w:vAlign w:val="center"/>
          </w:tcPr>
          <w:p w:rsidR="00B65841" w:rsidRPr="008C296C" w:rsidRDefault="00713ED3" w:rsidP="00A83E4F">
            <w:pPr>
              <w:jc w:val="left"/>
              <w:rPr>
                <w:rFonts w:cs="Tahoma"/>
                <w:b/>
              </w:rPr>
            </w:pPr>
            <w:r w:rsidRPr="008C296C">
              <w:rPr>
                <w:rFonts w:cs="Tahoma"/>
                <w:b/>
              </w:rPr>
              <w:t xml:space="preserve">Publication des résultats </w:t>
            </w:r>
          </w:p>
        </w:tc>
        <w:tc>
          <w:tcPr>
            <w:tcW w:w="3755" w:type="pct"/>
            <w:gridSpan w:val="2"/>
            <w:vAlign w:val="center"/>
          </w:tcPr>
          <w:p w:rsidR="00713ED3" w:rsidRPr="00330E26" w:rsidRDefault="00EF621B" w:rsidP="00B536CD">
            <w:pPr>
              <w:jc w:val="center"/>
              <w:rPr>
                <w:rFonts w:cs="Tahoma"/>
                <w:b/>
              </w:rPr>
            </w:pPr>
            <w:r w:rsidRPr="00330E26">
              <w:rPr>
                <w:rFonts w:cs="Tahoma"/>
                <w:b/>
              </w:rPr>
              <w:t xml:space="preserve">Août </w:t>
            </w:r>
            <w:r w:rsidR="00B91F06" w:rsidRPr="00330E26">
              <w:rPr>
                <w:rFonts w:cs="Tahoma"/>
                <w:b/>
              </w:rPr>
              <w:t>201</w:t>
            </w:r>
            <w:r w:rsidR="009F2CB9">
              <w:rPr>
                <w:rFonts w:cs="Tahoma"/>
                <w:b/>
              </w:rPr>
              <w:t>8</w:t>
            </w:r>
          </w:p>
        </w:tc>
      </w:tr>
    </w:tbl>
    <w:p w:rsidR="00B65841" w:rsidRPr="008C296C" w:rsidRDefault="006614D8" w:rsidP="00DA42BC">
      <w:pPr>
        <w:pStyle w:val="Titre1"/>
      </w:pPr>
      <w:bookmarkStart w:id="143" w:name="_Toc341270890"/>
      <w:bookmarkStart w:id="144" w:name="_Toc341270891"/>
      <w:bookmarkStart w:id="145" w:name="_Toc341270892"/>
      <w:bookmarkStart w:id="146" w:name="_Toc401231659"/>
      <w:bookmarkStart w:id="147" w:name="_Toc403578774"/>
      <w:bookmarkStart w:id="148" w:name="_Toc468797922"/>
      <w:bookmarkStart w:id="149" w:name="_Toc468798614"/>
      <w:bookmarkStart w:id="150" w:name="_Toc468800100"/>
      <w:bookmarkStart w:id="151" w:name="_Toc499804640"/>
      <w:bookmarkEnd w:id="143"/>
      <w:bookmarkEnd w:id="144"/>
      <w:r w:rsidRPr="008C296C">
        <w:t>Modalité de soumission</w:t>
      </w:r>
      <w:bookmarkEnd w:id="145"/>
      <w:r w:rsidR="001B6D30" w:rsidRPr="008C296C">
        <w:t xml:space="preserve"> des dossiers de candidature</w:t>
      </w:r>
      <w:bookmarkEnd w:id="146"/>
      <w:bookmarkEnd w:id="147"/>
      <w:bookmarkEnd w:id="148"/>
      <w:bookmarkEnd w:id="149"/>
      <w:bookmarkEnd w:id="150"/>
      <w:bookmarkEnd w:id="151"/>
    </w:p>
    <w:p w:rsidR="000649C8" w:rsidRDefault="000649C8" w:rsidP="007C65BE">
      <w:r w:rsidRPr="008C296C">
        <w:t xml:space="preserve">Le dossier de candidature (Cf. modèles « dossier » et «annexe financière ») doit comprendre l’ensemble des éléments requis et nécessaires à l’évaluation scientifique et technique du projet. Le dossier finalisé est soumis sous forme électronique (soumission en ligne) et sous forme papier, les deux formes sont identiques excepté les signatures et les documents complémentaires qui ne sont exigés qu’en version originale papier. </w:t>
      </w:r>
    </w:p>
    <w:p w:rsidR="00706B04" w:rsidRPr="008C296C" w:rsidRDefault="00706B04" w:rsidP="005C11B0">
      <w:pPr>
        <w:pStyle w:val="Default"/>
        <w:jc w:val="both"/>
        <w:rPr>
          <w:rFonts w:ascii="Calibri" w:hAnsi="Calibri"/>
          <w:color w:val="auto"/>
          <w:sz w:val="22"/>
        </w:rPr>
      </w:pPr>
    </w:p>
    <w:p w:rsidR="000649C8" w:rsidRPr="008C296C" w:rsidRDefault="000649C8" w:rsidP="00105A80">
      <w:pPr>
        <w:pStyle w:val="Default"/>
        <w:numPr>
          <w:ilvl w:val="0"/>
          <w:numId w:val="7"/>
        </w:numPr>
        <w:spacing w:after="240"/>
        <w:ind w:left="1985" w:hanging="357"/>
        <w:jc w:val="both"/>
        <w:rPr>
          <w:rFonts w:ascii="Calibri" w:hAnsi="Calibri"/>
          <w:color w:val="auto"/>
          <w:sz w:val="22"/>
        </w:rPr>
      </w:pPr>
      <w:r w:rsidRPr="008C296C">
        <w:rPr>
          <w:rFonts w:ascii="Calibri" w:hAnsi="Calibri"/>
          <w:b/>
          <w:sz w:val="22"/>
        </w:rPr>
        <w:t xml:space="preserve">Format électronique : </w:t>
      </w:r>
    </w:p>
    <w:p w:rsidR="000649C8" w:rsidRDefault="000649C8" w:rsidP="005C11B0">
      <w:pPr>
        <w:rPr>
          <w:rFonts w:cs="Tahoma"/>
          <w:b/>
          <w:bCs/>
        </w:rPr>
      </w:pPr>
      <w:r w:rsidRPr="008C296C">
        <w:rPr>
          <w:rFonts w:cs="Tahoma"/>
        </w:rPr>
        <w:t xml:space="preserve">Le dossier complet comprend deux fichiers : </w:t>
      </w:r>
      <w:r w:rsidRPr="00A83E4F">
        <w:rPr>
          <w:rFonts w:cs="Tahoma"/>
          <w:b/>
          <w:sz w:val="24"/>
        </w:rPr>
        <w:t>un fichier Word97-2003 n’excédant pas 4 MO et un fichier Excel97-2003,</w:t>
      </w:r>
      <w:r w:rsidRPr="00A83E4F">
        <w:rPr>
          <w:rFonts w:cs="Tahoma"/>
          <w:sz w:val="24"/>
        </w:rPr>
        <w:t xml:space="preserve"> </w:t>
      </w:r>
      <w:r w:rsidRPr="008C296C">
        <w:rPr>
          <w:rFonts w:cs="Tahoma"/>
        </w:rPr>
        <w:t>ce dernier constituant une annexe financière. Il est transmis par téléchargement en ligne</w:t>
      </w:r>
      <w:r w:rsidRPr="008C296C">
        <w:rPr>
          <w:rFonts w:cs="Tahoma"/>
          <w:bCs/>
        </w:rPr>
        <w:t xml:space="preserve"> en utilisant l’adresse unique pour l’appel à projets </w:t>
      </w:r>
      <w:r w:rsidRPr="008C296C">
        <w:rPr>
          <w:rFonts w:cs="Tahoma"/>
          <w:b/>
          <w:bCs/>
        </w:rPr>
        <w:t>:</w:t>
      </w:r>
    </w:p>
    <w:p w:rsidR="00706B04" w:rsidRDefault="00706B04" w:rsidP="005C11B0">
      <w:pPr>
        <w:rPr>
          <w:rFonts w:cs="Tahoma"/>
        </w:rPr>
      </w:pPr>
    </w:p>
    <w:p w:rsidR="000649C8" w:rsidRPr="008C296C" w:rsidRDefault="000649C8" w:rsidP="005C11B0">
      <w:pPr>
        <w:rPr>
          <w:rFonts w:cs="Tahoma"/>
        </w:rPr>
      </w:pPr>
      <w:r w:rsidRPr="008C296C">
        <w:rPr>
          <w:rFonts w:cs="Tahoma"/>
        </w:rPr>
        <w:t xml:space="preserve">Cette </w:t>
      </w:r>
      <w:r w:rsidRPr="008C296C">
        <w:rPr>
          <w:rFonts w:cs="Tahoma"/>
          <w:b/>
          <w:bCs/>
        </w:rPr>
        <w:t>procédure de soumission</w:t>
      </w:r>
      <w:r w:rsidRPr="008C296C">
        <w:rPr>
          <w:rFonts w:cs="Tahoma"/>
        </w:rPr>
        <w:t>, à partir du site de l’INCa, comprend :</w:t>
      </w:r>
    </w:p>
    <w:p w:rsidR="000649C8" w:rsidRPr="008C296C" w:rsidRDefault="000649C8" w:rsidP="00105A80">
      <w:pPr>
        <w:numPr>
          <w:ilvl w:val="0"/>
          <w:numId w:val="6"/>
        </w:numPr>
        <w:rPr>
          <w:rFonts w:cs="Tahoma"/>
        </w:rPr>
      </w:pPr>
      <w:r w:rsidRPr="008C296C">
        <w:rPr>
          <w:rFonts w:cs="Tahoma"/>
        </w:rPr>
        <w:t xml:space="preserve">l’identification du coordinateur (nom, prénom et e-mail), </w:t>
      </w:r>
    </w:p>
    <w:p w:rsidR="000649C8" w:rsidRPr="008C296C" w:rsidRDefault="000649C8" w:rsidP="00105A80">
      <w:pPr>
        <w:numPr>
          <w:ilvl w:val="0"/>
          <w:numId w:val="6"/>
        </w:numPr>
        <w:rPr>
          <w:rFonts w:cs="Tahoma"/>
        </w:rPr>
      </w:pPr>
      <w:r w:rsidRPr="008C296C">
        <w:rPr>
          <w:rFonts w:cs="Tahoma"/>
        </w:rPr>
        <w:t>l’identification du projet (ARS de référence, titre, durée, montant, mots clefs et le résumé),</w:t>
      </w:r>
    </w:p>
    <w:p w:rsidR="000649C8" w:rsidRDefault="000649C8" w:rsidP="00105A80">
      <w:pPr>
        <w:numPr>
          <w:ilvl w:val="0"/>
          <w:numId w:val="6"/>
        </w:numPr>
        <w:rPr>
          <w:rFonts w:cs="Tahoma"/>
        </w:rPr>
      </w:pPr>
      <w:r w:rsidRPr="008C296C">
        <w:rPr>
          <w:rFonts w:cs="Tahoma"/>
        </w:rPr>
        <w:t>le téléchargement du dossier de candidature.</w:t>
      </w:r>
    </w:p>
    <w:p w:rsidR="00A83E4F" w:rsidRPr="00A83E4F" w:rsidRDefault="00A83E4F" w:rsidP="00A83E4F">
      <w:pPr>
        <w:jc w:val="center"/>
        <w:rPr>
          <w:rFonts w:cs="Tahoma"/>
          <w:b/>
          <w:color w:val="C00000"/>
          <w:sz w:val="24"/>
        </w:rPr>
      </w:pPr>
      <w:r>
        <w:rPr>
          <w:rFonts w:cs="Tahoma"/>
          <w:b/>
          <w:color w:val="C00000"/>
          <w:sz w:val="24"/>
        </w:rPr>
        <w:t>Pas de format PDF</w:t>
      </w:r>
    </w:p>
    <w:p w:rsidR="00BF7C18" w:rsidRDefault="00BF7C18">
      <w:pPr>
        <w:jc w:val="left"/>
        <w:rPr>
          <w:rFonts w:cs="Tahoma"/>
          <w:b/>
          <w:color w:val="000000"/>
        </w:rPr>
      </w:pPr>
      <w:r>
        <w:rPr>
          <w:b/>
        </w:rPr>
        <w:br w:type="page"/>
      </w:r>
    </w:p>
    <w:p w:rsidR="00706B04" w:rsidRPr="008C296C" w:rsidRDefault="00706B04" w:rsidP="005C11B0">
      <w:pPr>
        <w:pStyle w:val="Default"/>
        <w:jc w:val="both"/>
        <w:rPr>
          <w:rFonts w:ascii="Calibri" w:hAnsi="Calibri"/>
          <w:b/>
          <w:sz w:val="22"/>
        </w:rPr>
      </w:pPr>
    </w:p>
    <w:p w:rsidR="000649C8" w:rsidRPr="008C296C" w:rsidRDefault="000649C8" w:rsidP="00105A80">
      <w:pPr>
        <w:pStyle w:val="Default"/>
        <w:numPr>
          <w:ilvl w:val="0"/>
          <w:numId w:val="7"/>
        </w:numPr>
        <w:spacing w:after="240"/>
        <w:ind w:left="1985" w:hanging="357"/>
        <w:jc w:val="both"/>
        <w:rPr>
          <w:rFonts w:ascii="Calibri" w:hAnsi="Calibri"/>
          <w:b/>
          <w:sz w:val="22"/>
        </w:rPr>
      </w:pPr>
      <w:r w:rsidRPr="008C296C">
        <w:rPr>
          <w:rFonts w:ascii="Calibri" w:hAnsi="Calibri"/>
          <w:b/>
          <w:sz w:val="22"/>
        </w:rPr>
        <w:t xml:space="preserve">Format papier : </w:t>
      </w:r>
    </w:p>
    <w:p w:rsidR="00263272" w:rsidRDefault="000649C8" w:rsidP="007C65BE">
      <w:r w:rsidRPr="008C296C">
        <w:t xml:space="preserve">Un exemplaire original du dossier du projet complet dûment signé par les personnes responsables avec éventuellement les documents complémentaires, envoyé dans le respect des délais mentionnés (ch. </w:t>
      </w:r>
      <w:r w:rsidR="003174F2">
        <w:t>8</w:t>
      </w:r>
      <w:r w:rsidRPr="008C296C">
        <w:t xml:space="preserve">). </w:t>
      </w:r>
    </w:p>
    <w:p w:rsidR="00713ED3" w:rsidRPr="008C296C" w:rsidRDefault="00713ED3" w:rsidP="00DA42BC">
      <w:pPr>
        <w:pStyle w:val="Titre1"/>
      </w:pPr>
      <w:bookmarkStart w:id="152" w:name="_Toc341270895"/>
      <w:bookmarkStart w:id="153" w:name="_Toc259624023"/>
      <w:bookmarkStart w:id="154" w:name="_Toc336531708"/>
      <w:bookmarkStart w:id="155" w:name="_Toc341270896"/>
      <w:bookmarkStart w:id="156" w:name="_Toc401231662"/>
      <w:bookmarkStart w:id="157" w:name="_Toc403578775"/>
      <w:bookmarkStart w:id="158" w:name="_Toc468797923"/>
      <w:bookmarkStart w:id="159" w:name="_Toc468798615"/>
      <w:bookmarkStart w:id="160" w:name="_Toc468800101"/>
      <w:bookmarkStart w:id="161" w:name="_Toc499804641"/>
      <w:bookmarkEnd w:id="152"/>
      <w:r w:rsidRPr="008C296C">
        <w:t>Publication des résultats</w:t>
      </w:r>
      <w:bookmarkEnd w:id="153"/>
      <w:bookmarkEnd w:id="154"/>
      <w:bookmarkEnd w:id="155"/>
      <w:bookmarkEnd w:id="156"/>
      <w:bookmarkEnd w:id="157"/>
      <w:bookmarkEnd w:id="158"/>
      <w:bookmarkEnd w:id="159"/>
      <w:bookmarkEnd w:id="160"/>
      <w:bookmarkEnd w:id="161"/>
    </w:p>
    <w:p w:rsidR="00713ED3" w:rsidRPr="008C296C" w:rsidRDefault="00713ED3" w:rsidP="005C11B0">
      <w:pPr>
        <w:rPr>
          <w:rFonts w:cs="Tahoma"/>
        </w:rPr>
      </w:pPr>
      <w:r w:rsidRPr="008C296C">
        <w:rPr>
          <w:rFonts w:cs="Tahoma"/>
        </w:rPr>
        <w:t>Les résultats seront publiés sur le site Internet de l’INCa.</w:t>
      </w:r>
    </w:p>
    <w:p w:rsidR="00713ED3" w:rsidRPr="008C296C" w:rsidRDefault="00713ED3" w:rsidP="005C11B0">
      <w:pPr>
        <w:rPr>
          <w:rFonts w:cs="Tahoma"/>
        </w:rPr>
      </w:pPr>
      <w:r w:rsidRPr="008C296C">
        <w:rPr>
          <w:rFonts w:cs="Tahoma"/>
        </w:rPr>
        <w:t>Ils seront communiqué</w:t>
      </w:r>
      <w:r w:rsidR="008E5022" w:rsidRPr="008C296C">
        <w:rPr>
          <w:rFonts w:cs="Tahoma"/>
        </w:rPr>
        <w:t>s par écrit au coordin</w:t>
      </w:r>
      <w:r w:rsidRPr="008C296C">
        <w:rPr>
          <w:rFonts w:cs="Tahoma"/>
        </w:rPr>
        <w:t>ateur du projet et une copie</w:t>
      </w:r>
      <w:r w:rsidR="00D34099" w:rsidRPr="008C296C">
        <w:rPr>
          <w:rFonts w:cs="Tahoma"/>
        </w:rPr>
        <w:t xml:space="preserve"> sera adressée </w:t>
      </w:r>
      <w:r w:rsidRPr="008C296C">
        <w:rPr>
          <w:rFonts w:cs="Tahoma"/>
        </w:rPr>
        <w:t xml:space="preserve">aux représentants légaux des établissements gestionnaires des fonds. </w:t>
      </w:r>
    </w:p>
    <w:p w:rsidR="001A098F" w:rsidRPr="008C296C" w:rsidRDefault="00293AA8" w:rsidP="005C11B0">
      <w:pPr>
        <w:rPr>
          <w:rFonts w:cs="Tahoma"/>
        </w:rPr>
      </w:pPr>
      <w:r w:rsidRPr="008C296C">
        <w:rPr>
          <w:rFonts w:cs="Tahoma"/>
        </w:rPr>
        <w:t xml:space="preserve">Les Agences Régionales de Santé concernées </w:t>
      </w:r>
      <w:r w:rsidR="00EA4E5D" w:rsidRPr="00C64CFC">
        <w:rPr>
          <w:rFonts w:cs="Tahoma"/>
        </w:rPr>
        <w:t xml:space="preserve">ainsi que </w:t>
      </w:r>
      <w:r w:rsidR="00C64CFC">
        <w:rPr>
          <w:rFonts w:cs="Tahoma"/>
        </w:rPr>
        <w:t>la Direction générale de la santé seront</w:t>
      </w:r>
      <w:r w:rsidRPr="008C296C">
        <w:rPr>
          <w:rFonts w:cs="Tahoma"/>
        </w:rPr>
        <w:t xml:space="preserve"> informées des projets sélectionnés.</w:t>
      </w:r>
    </w:p>
    <w:p w:rsidR="0028312E" w:rsidRPr="008C296C" w:rsidRDefault="0028312E" w:rsidP="00DA42BC">
      <w:pPr>
        <w:pStyle w:val="Titre1"/>
      </w:pPr>
      <w:bookmarkStart w:id="162" w:name="_Toc341270897"/>
      <w:bookmarkStart w:id="163" w:name="_Toc401231663"/>
      <w:bookmarkStart w:id="164" w:name="_Toc403578776"/>
      <w:bookmarkStart w:id="165" w:name="_Toc468797924"/>
      <w:bookmarkStart w:id="166" w:name="_Toc468798616"/>
      <w:bookmarkStart w:id="167" w:name="_Toc468800102"/>
      <w:bookmarkStart w:id="168" w:name="_Toc499804642"/>
      <w:r w:rsidRPr="008C296C">
        <w:t>Contacts</w:t>
      </w:r>
      <w:bookmarkEnd w:id="162"/>
      <w:bookmarkEnd w:id="163"/>
      <w:bookmarkEnd w:id="164"/>
      <w:bookmarkEnd w:id="165"/>
      <w:bookmarkEnd w:id="166"/>
      <w:bookmarkEnd w:id="167"/>
      <w:bookmarkEnd w:id="168"/>
    </w:p>
    <w:p w:rsidR="00BF3A23" w:rsidRDefault="0028312E" w:rsidP="006323E1">
      <w:pPr>
        <w:spacing w:after="240"/>
        <w:rPr>
          <w:rFonts w:cs="Tahoma"/>
        </w:rPr>
      </w:pPr>
      <w:r w:rsidRPr="008C296C">
        <w:rPr>
          <w:rFonts w:cs="Tahoma"/>
        </w:rPr>
        <w:t>Pour toute information contacter :</w:t>
      </w:r>
    </w:p>
    <w:p w:rsidR="0028312E" w:rsidRDefault="00A635C1" w:rsidP="008F35D4">
      <w:pPr>
        <w:spacing w:after="240"/>
        <w:rPr>
          <w:rFonts w:cs="Tahoma"/>
          <w:b/>
          <w:color w:val="365F91" w:themeColor="accent1" w:themeShade="BF"/>
        </w:rPr>
      </w:pPr>
      <w:r w:rsidRPr="00407DF2">
        <w:rPr>
          <w:rFonts w:cs="Tahoma"/>
          <w:b/>
        </w:rPr>
        <w:t>Pour le dépistag</w:t>
      </w:r>
      <w:r w:rsidR="001E4F9C">
        <w:rPr>
          <w:rFonts w:cs="Tahoma"/>
          <w:b/>
        </w:rPr>
        <w:t>e</w:t>
      </w:r>
      <w:r w:rsidRPr="00407DF2">
        <w:rPr>
          <w:rFonts w:cs="Tahoma"/>
        </w:rPr>
        <w:t xml:space="preserve"> :</w:t>
      </w:r>
      <w:r w:rsidR="00407DF2" w:rsidRPr="00407DF2">
        <w:rPr>
          <w:rFonts w:cs="Tahoma"/>
        </w:rPr>
        <w:t xml:space="preserve"> </w:t>
      </w:r>
      <w:r w:rsidR="00A2201B">
        <w:rPr>
          <w:rFonts w:cs="Tahoma"/>
        </w:rPr>
        <w:t>M</w:t>
      </w:r>
      <w:r w:rsidR="00DB5E44">
        <w:rPr>
          <w:rFonts w:cs="Tahoma"/>
        </w:rPr>
        <w:t>organe LE BAIL</w:t>
      </w:r>
      <w:r w:rsidR="006323E1" w:rsidRPr="008C296C">
        <w:rPr>
          <w:rFonts w:cs="Tahoma"/>
        </w:rPr>
        <w:t xml:space="preserve">   </w:t>
      </w:r>
      <w:r w:rsidR="00DB5E44">
        <w:rPr>
          <w:rFonts w:cs="Tahoma"/>
          <w:b/>
          <w:color w:val="365F91" w:themeColor="accent1" w:themeShade="BF"/>
        </w:rPr>
        <w:t>mlebail</w:t>
      </w:r>
      <w:hyperlink r:id="rId16" w:history="1">
        <w:r w:rsidR="001A6DCA" w:rsidRPr="008F35D4">
          <w:rPr>
            <w:rStyle w:val="Lienhypertexte"/>
            <w:rFonts w:ascii="Calibri" w:hAnsi="Calibri" w:cs="Tahoma"/>
            <w:b/>
            <w:color w:val="365F91" w:themeColor="accent1" w:themeShade="BF"/>
            <w:sz w:val="22"/>
            <w:szCs w:val="22"/>
          </w:rPr>
          <w:t>@</w:t>
        </w:r>
        <w:r w:rsidR="00E92695" w:rsidRPr="008F35D4">
          <w:rPr>
            <w:rStyle w:val="Lienhypertexte"/>
            <w:rFonts w:ascii="Calibri" w:hAnsi="Calibri" w:cs="Tahoma"/>
            <w:b/>
            <w:color w:val="365F91" w:themeColor="accent1" w:themeShade="BF"/>
            <w:sz w:val="22"/>
            <w:szCs w:val="22"/>
          </w:rPr>
          <w:t>institutcancer</w:t>
        </w:r>
      </w:hyperlink>
      <w:r w:rsidR="005C11B0" w:rsidRPr="008F35D4">
        <w:rPr>
          <w:rFonts w:cs="Tahoma"/>
          <w:b/>
          <w:color w:val="365F91" w:themeColor="accent1" w:themeShade="BF"/>
        </w:rPr>
        <w:t>.</w:t>
      </w:r>
      <w:r w:rsidR="00DB62BC">
        <w:rPr>
          <w:rFonts w:cs="Tahoma"/>
          <w:b/>
          <w:color w:val="365F91" w:themeColor="accent1" w:themeShade="BF"/>
        </w:rPr>
        <w:t>f</w:t>
      </w:r>
      <w:r w:rsidR="008F35D4">
        <w:rPr>
          <w:rFonts w:cs="Tahoma"/>
          <w:b/>
          <w:color w:val="365F91" w:themeColor="accent1" w:themeShade="BF"/>
        </w:rPr>
        <w:t xml:space="preserve">r </w:t>
      </w:r>
    </w:p>
    <w:p w:rsidR="00A635C1" w:rsidRDefault="00A635C1" w:rsidP="00A635C1">
      <w:pPr>
        <w:spacing w:after="240"/>
        <w:rPr>
          <w:rFonts w:cs="Tahoma"/>
          <w:b/>
          <w:color w:val="365F91" w:themeColor="accent1" w:themeShade="BF"/>
        </w:rPr>
      </w:pPr>
      <w:r w:rsidRPr="004B37BF">
        <w:rPr>
          <w:rFonts w:cs="Tahoma"/>
          <w:b/>
        </w:rPr>
        <w:t>Pour la prévention</w:t>
      </w:r>
      <w:r>
        <w:rPr>
          <w:rFonts w:cs="Tahoma"/>
        </w:rPr>
        <w:t xml:space="preserve"> : Véronique PHILIBERT</w:t>
      </w:r>
      <w:r w:rsidRPr="008C296C">
        <w:rPr>
          <w:rFonts w:cs="Tahoma"/>
        </w:rPr>
        <w:t xml:space="preserve">   </w:t>
      </w:r>
      <w:r w:rsidRPr="008F35D4">
        <w:rPr>
          <w:rFonts w:cs="Tahoma"/>
          <w:b/>
          <w:color w:val="365F91" w:themeColor="accent1" w:themeShade="BF"/>
        </w:rPr>
        <w:t>vphilibert</w:t>
      </w:r>
      <w:hyperlink r:id="rId17" w:history="1">
        <w:r w:rsidRPr="008F35D4">
          <w:rPr>
            <w:rStyle w:val="Lienhypertexte"/>
            <w:rFonts w:ascii="Calibri" w:hAnsi="Calibri" w:cs="Tahoma"/>
            <w:b/>
            <w:color w:val="365F91" w:themeColor="accent1" w:themeShade="BF"/>
            <w:sz w:val="22"/>
            <w:szCs w:val="22"/>
          </w:rPr>
          <w:t>@institutcancer</w:t>
        </w:r>
      </w:hyperlink>
      <w:r w:rsidRPr="008F35D4">
        <w:rPr>
          <w:rFonts w:cs="Tahoma"/>
          <w:b/>
          <w:color w:val="365F91" w:themeColor="accent1" w:themeShade="BF"/>
        </w:rPr>
        <w:t>.</w:t>
      </w:r>
      <w:r>
        <w:rPr>
          <w:rFonts w:cs="Tahoma"/>
          <w:b/>
          <w:color w:val="365F91" w:themeColor="accent1" w:themeShade="BF"/>
        </w:rPr>
        <w:t>fr</w:t>
      </w:r>
    </w:p>
    <w:p w:rsidR="00DB5E44" w:rsidRPr="008C296C" w:rsidRDefault="00DB5E44" w:rsidP="008F35D4">
      <w:pPr>
        <w:spacing w:after="240"/>
        <w:rPr>
          <w:rFonts w:cs="Tahoma"/>
        </w:rPr>
      </w:pPr>
    </w:p>
    <w:sectPr w:rsidR="00DB5E44" w:rsidRPr="008C296C" w:rsidSect="00706B04">
      <w:footerReference w:type="even" r:id="rId18"/>
      <w:footerReference w:type="default" r:id="rId19"/>
      <w:pgSz w:w="11906" w:h="16838"/>
      <w:pgMar w:top="1418" w:right="1304" w:bottom="851" w:left="1276"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F1" w:rsidRDefault="00A470F1">
      <w:r>
        <w:separator/>
      </w:r>
    </w:p>
  </w:endnote>
  <w:endnote w:type="continuationSeparator" w:id="0">
    <w:p w:rsidR="00A470F1" w:rsidRDefault="00A4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uatemala">
    <w:altName w:val="Times New Roman"/>
    <w:panose1 w:val="00000000000000000000"/>
    <w:charset w:val="00"/>
    <w:family w:val="roman"/>
    <w:notTrueType/>
    <w:pitch w:val="variable"/>
    <w:sig w:usb0="00000003" w:usb1="00000000" w:usb2="00000000" w:usb3="00000000" w:csb0="00000001" w:csb1="00000000"/>
  </w:font>
  <w:font w:name="Goudy">
    <w:altName w:val="Goudy"/>
    <w:panose1 w:val="00000000000000000000"/>
    <w:charset w:val="00"/>
    <w:family w:val="roman"/>
    <w:notTrueType/>
    <w:pitch w:val="default"/>
    <w:sig w:usb0="000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F1" w:rsidRDefault="00A470F1" w:rsidP="008237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A470F1" w:rsidRDefault="00A470F1" w:rsidP="008237B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F1" w:rsidRPr="006D528B" w:rsidRDefault="00A470F1" w:rsidP="001347DD">
    <w:pPr>
      <w:pStyle w:val="Pieddepage"/>
      <w:ind w:right="360"/>
      <w:rPr>
        <w:rFonts w:cs="Tahoma"/>
        <w:sz w:val="18"/>
        <w:szCs w:val="18"/>
      </w:rPr>
    </w:pPr>
    <w:r w:rsidRPr="00CD07FF">
      <w:rPr>
        <w:rFonts w:cs="Tahoma"/>
        <w:sz w:val="18"/>
        <w:szCs w:val="18"/>
      </w:rPr>
      <w:t>I</w:t>
    </w:r>
    <w:r>
      <w:rPr>
        <w:rFonts w:cs="Tahoma"/>
        <w:sz w:val="18"/>
        <w:szCs w:val="18"/>
      </w:rPr>
      <w:t>NCa AAP-DEPREV 2018</w:t>
    </w:r>
    <w:r>
      <w:rPr>
        <w:rFonts w:cs="Tahoma"/>
        <w:sz w:val="18"/>
        <w:szCs w:val="18"/>
      </w:rPr>
      <w:tab/>
    </w:r>
    <w:r>
      <w:rPr>
        <w:rFonts w:cs="Tahoma"/>
        <w:sz w:val="18"/>
        <w:szCs w:val="18"/>
      </w:rPr>
      <w:tab/>
    </w:r>
    <w:r w:rsidRPr="006D528B">
      <w:rPr>
        <w:rStyle w:val="Numrodepage"/>
        <w:rFonts w:cs="Tahoma"/>
        <w:sz w:val="18"/>
        <w:szCs w:val="18"/>
      </w:rPr>
      <w:fldChar w:fldCharType="begin"/>
    </w:r>
    <w:r w:rsidRPr="006D528B">
      <w:rPr>
        <w:rStyle w:val="Numrodepage"/>
        <w:rFonts w:cs="Tahoma"/>
        <w:sz w:val="18"/>
        <w:szCs w:val="18"/>
      </w:rPr>
      <w:instrText xml:space="preserve"> PAGE </w:instrText>
    </w:r>
    <w:r w:rsidRPr="006D528B">
      <w:rPr>
        <w:rStyle w:val="Numrodepage"/>
        <w:rFonts w:cs="Tahoma"/>
        <w:sz w:val="18"/>
        <w:szCs w:val="18"/>
      </w:rPr>
      <w:fldChar w:fldCharType="separate"/>
    </w:r>
    <w:r w:rsidR="00904C63">
      <w:rPr>
        <w:rStyle w:val="Numrodepage"/>
        <w:rFonts w:cs="Tahoma"/>
        <w:noProof/>
        <w:sz w:val="18"/>
        <w:szCs w:val="18"/>
      </w:rPr>
      <w:t>15</w:t>
    </w:r>
    <w:r w:rsidRPr="006D528B">
      <w:rPr>
        <w:rStyle w:val="Numrodepage"/>
        <w:rFonts w:cs="Tahoma"/>
        <w:sz w:val="18"/>
        <w:szCs w:val="18"/>
      </w:rPr>
      <w:fldChar w:fldCharType="end"/>
    </w:r>
    <w:r w:rsidRPr="006D528B">
      <w:rPr>
        <w:rStyle w:val="Numrodepage"/>
        <w:rFonts w:cs="Tahoma"/>
        <w:sz w:val="18"/>
        <w:szCs w:val="18"/>
      </w:rPr>
      <w:t>/</w:t>
    </w:r>
    <w:r w:rsidRPr="006D528B">
      <w:rPr>
        <w:rStyle w:val="Numrodepage"/>
        <w:rFonts w:cs="Tahoma"/>
        <w:sz w:val="18"/>
        <w:szCs w:val="18"/>
      </w:rPr>
      <w:fldChar w:fldCharType="begin"/>
    </w:r>
    <w:r w:rsidRPr="006D528B">
      <w:rPr>
        <w:rStyle w:val="Numrodepage"/>
        <w:rFonts w:cs="Tahoma"/>
        <w:sz w:val="18"/>
        <w:szCs w:val="18"/>
      </w:rPr>
      <w:instrText xml:space="preserve"> NUMPAGES </w:instrText>
    </w:r>
    <w:r w:rsidRPr="006D528B">
      <w:rPr>
        <w:rStyle w:val="Numrodepage"/>
        <w:rFonts w:cs="Tahoma"/>
        <w:sz w:val="18"/>
        <w:szCs w:val="18"/>
      </w:rPr>
      <w:fldChar w:fldCharType="separate"/>
    </w:r>
    <w:r w:rsidR="00904C63">
      <w:rPr>
        <w:rStyle w:val="Numrodepage"/>
        <w:rFonts w:cs="Tahoma"/>
        <w:noProof/>
        <w:sz w:val="18"/>
        <w:szCs w:val="18"/>
      </w:rPr>
      <w:t>15</w:t>
    </w:r>
    <w:r w:rsidRPr="006D528B">
      <w:rPr>
        <w:rStyle w:val="Numrodepage"/>
        <w:rFonts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F1" w:rsidRDefault="00A470F1">
      <w:r>
        <w:separator/>
      </w:r>
    </w:p>
  </w:footnote>
  <w:footnote w:type="continuationSeparator" w:id="0">
    <w:p w:rsidR="00A470F1" w:rsidRDefault="00A470F1">
      <w:r>
        <w:continuationSeparator/>
      </w:r>
    </w:p>
  </w:footnote>
  <w:footnote w:id="1">
    <w:p w:rsidR="00A470F1" w:rsidRPr="004B37BF" w:rsidRDefault="00A470F1" w:rsidP="001E7B36">
      <w:pPr>
        <w:pStyle w:val="Notedebasdepage"/>
        <w:rPr>
          <w:sz w:val="18"/>
          <w:szCs w:val="18"/>
          <w:lang w:val="en-US"/>
        </w:rPr>
      </w:pPr>
      <w:r w:rsidRPr="006F3679">
        <w:rPr>
          <w:rStyle w:val="Appelnotedebasdep"/>
          <w:sz w:val="18"/>
          <w:szCs w:val="18"/>
        </w:rPr>
        <w:footnoteRef/>
      </w:r>
      <w:r w:rsidRPr="006F3679">
        <w:rPr>
          <w:sz w:val="18"/>
          <w:szCs w:val="18"/>
          <w:lang w:val="en-US"/>
        </w:rPr>
        <w:t xml:space="preserve"> Shield K, </w:t>
      </w:r>
      <w:proofErr w:type="spellStart"/>
      <w:r w:rsidRPr="006F3679">
        <w:rPr>
          <w:sz w:val="18"/>
          <w:szCs w:val="18"/>
          <w:lang w:val="en-US"/>
        </w:rPr>
        <w:t>Marant</w:t>
      </w:r>
      <w:proofErr w:type="spellEnd"/>
      <w:r w:rsidRPr="006F3679">
        <w:rPr>
          <w:sz w:val="18"/>
          <w:szCs w:val="18"/>
          <w:lang w:val="en-US"/>
        </w:rPr>
        <w:t xml:space="preserve"> </w:t>
      </w:r>
      <w:proofErr w:type="spellStart"/>
      <w:r w:rsidRPr="006F3679">
        <w:rPr>
          <w:sz w:val="18"/>
          <w:szCs w:val="18"/>
          <w:lang w:val="en-US"/>
        </w:rPr>
        <w:t>Micallef</w:t>
      </w:r>
      <w:proofErr w:type="spellEnd"/>
      <w:r w:rsidRPr="006F3679">
        <w:rPr>
          <w:sz w:val="18"/>
          <w:szCs w:val="18"/>
          <w:lang w:val="en-US"/>
        </w:rPr>
        <w:t xml:space="preserve"> C, et al. </w:t>
      </w:r>
      <w:proofErr w:type="gramStart"/>
      <w:r w:rsidRPr="006F3679">
        <w:rPr>
          <w:sz w:val="18"/>
          <w:szCs w:val="18"/>
          <w:lang w:val="en-US"/>
        </w:rPr>
        <w:t xml:space="preserve">New cancer cases in France </w:t>
      </w:r>
      <w:r>
        <w:rPr>
          <w:sz w:val="18"/>
          <w:szCs w:val="18"/>
          <w:lang w:val="en-US"/>
        </w:rPr>
        <w:t>i</w:t>
      </w:r>
      <w:r w:rsidRPr="006F3679">
        <w:rPr>
          <w:sz w:val="18"/>
          <w:szCs w:val="18"/>
          <w:lang w:val="en-US"/>
        </w:rPr>
        <w:t>n 2015 attributable to different</w:t>
      </w:r>
      <w:r>
        <w:rPr>
          <w:sz w:val="18"/>
          <w:szCs w:val="18"/>
          <w:lang w:val="en-US"/>
        </w:rPr>
        <w:t xml:space="preserve"> levels of alcohol consumption, addiction</w:t>
      </w:r>
      <w:r w:rsidRPr="006F3679">
        <w:rPr>
          <w:sz w:val="18"/>
          <w:szCs w:val="18"/>
          <w:lang w:val="en-US"/>
        </w:rPr>
        <w:t xml:space="preserve"> </w:t>
      </w:r>
      <w:r w:rsidRPr="004B37BF">
        <w:rPr>
          <w:sz w:val="18"/>
          <w:szCs w:val="18"/>
          <w:lang w:val="en-US"/>
        </w:rPr>
        <w:t>2017 Aug 22.</w:t>
      </w:r>
      <w:proofErr w:type="gramEnd"/>
      <w:r w:rsidRPr="004B37BF">
        <w:rPr>
          <w:sz w:val="18"/>
          <w:szCs w:val="18"/>
          <w:lang w:val="en-US"/>
        </w:rPr>
        <w:t xml:space="preserve"> </w:t>
      </w:r>
    </w:p>
  </w:footnote>
  <w:footnote w:id="2">
    <w:p w:rsidR="00A470F1" w:rsidRPr="005645ED" w:rsidRDefault="00A470F1" w:rsidP="001E7B36">
      <w:pPr>
        <w:pStyle w:val="Notedebasdepage"/>
        <w:rPr>
          <w:lang w:val="en-US"/>
        </w:rPr>
      </w:pPr>
      <w:r w:rsidRPr="006F3679">
        <w:rPr>
          <w:rStyle w:val="Appelnotedebasdep"/>
          <w:sz w:val="18"/>
          <w:szCs w:val="18"/>
        </w:rPr>
        <w:footnoteRef/>
      </w:r>
      <w:r w:rsidRPr="006F3679">
        <w:rPr>
          <w:sz w:val="18"/>
          <w:szCs w:val="18"/>
        </w:rPr>
        <w:t xml:space="preserve"> </w:t>
      </w:r>
      <w:r w:rsidRPr="006F3679">
        <w:rPr>
          <w:rFonts w:cs="Arial"/>
          <w:sz w:val="18"/>
          <w:szCs w:val="18"/>
        </w:rPr>
        <w:t xml:space="preserve">OCDE, </w:t>
      </w:r>
      <w:r w:rsidRPr="006F3679">
        <w:rPr>
          <w:rFonts w:cs="Arial"/>
          <w:i/>
          <w:iCs/>
          <w:sz w:val="18"/>
          <w:szCs w:val="18"/>
        </w:rPr>
        <w:t>Panorama de la santé 2015 / Les indicateurs de l'OCDE</w:t>
      </w:r>
      <w:r w:rsidRPr="006F3679">
        <w:rPr>
          <w:rFonts w:cs="Arial"/>
          <w:sz w:val="18"/>
          <w:szCs w:val="18"/>
        </w:rPr>
        <w:t xml:space="preserve">. </w:t>
      </w:r>
      <w:r w:rsidRPr="006F3679">
        <w:rPr>
          <w:rFonts w:cs="Arial"/>
          <w:sz w:val="18"/>
          <w:szCs w:val="18"/>
          <w:lang w:val="en-US"/>
        </w:rPr>
        <w:t>2015, OECD Publishing: Paris.</w:t>
      </w:r>
    </w:p>
  </w:footnote>
  <w:footnote w:id="3">
    <w:p w:rsidR="00A470F1" w:rsidRPr="00D40D52" w:rsidRDefault="00A470F1" w:rsidP="001E7B36">
      <w:pPr>
        <w:pStyle w:val="Notedebasdepage"/>
        <w:rPr>
          <w:sz w:val="18"/>
          <w:szCs w:val="18"/>
          <w:lang w:val="en-US"/>
        </w:rPr>
      </w:pPr>
      <w:r>
        <w:rPr>
          <w:rStyle w:val="Appelnotedebasdep"/>
        </w:rPr>
        <w:footnoteRef/>
      </w:r>
      <w:r w:rsidRPr="00E720E2">
        <w:rPr>
          <w:lang w:val="en-US"/>
        </w:rPr>
        <w:t xml:space="preserve"> </w:t>
      </w:r>
      <w:hyperlink r:id="rId1" w:history="1">
        <w:r w:rsidRPr="006D4782">
          <w:rPr>
            <w:sz w:val="18"/>
            <w:szCs w:val="18"/>
            <w:lang w:val="en-US"/>
          </w:rPr>
          <w:t>http://www.santepubliquefrance.fr/Actualites/Avis-d-experts-relatif-a-l-evolution-du-discours-public-en-matiere-de-consommation-d-alcool-en-France-organise-par-Sante-publique-France-et-l-Inca</w:t>
        </w:r>
      </w:hyperlink>
    </w:p>
  </w:footnote>
  <w:footnote w:id="4">
    <w:p w:rsidR="00A470F1" w:rsidRPr="006F3679" w:rsidRDefault="00A470F1" w:rsidP="001E7B36">
      <w:pPr>
        <w:pStyle w:val="Notedebasdepage"/>
        <w:rPr>
          <w:sz w:val="18"/>
          <w:szCs w:val="18"/>
          <w:lang w:val="en-US"/>
        </w:rPr>
      </w:pPr>
      <w:r w:rsidRPr="006F3679">
        <w:rPr>
          <w:rStyle w:val="Appelnotedebasdep"/>
          <w:sz w:val="18"/>
          <w:szCs w:val="18"/>
        </w:rPr>
        <w:footnoteRef/>
      </w:r>
      <w:r w:rsidRPr="006F3679">
        <w:rPr>
          <w:sz w:val="18"/>
          <w:szCs w:val="18"/>
          <w:lang w:val="en-US"/>
        </w:rPr>
        <w:t xml:space="preserve"> </w:t>
      </w:r>
      <w:r w:rsidRPr="006F3679">
        <w:rPr>
          <w:rFonts w:cs="Goudy"/>
          <w:color w:val="000000"/>
          <w:sz w:val="18"/>
          <w:szCs w:val="18"/>
          <w:lang w:val="en-US"/>
        </w:rPr>
        <w:t>R. Gordon, L. McDermott, M. Stead, K. Angus, « The effectiveness of social marketing interventions for health improve</w:t>
      </w:r>
      <w:r w:rsidRPr="006F3679">
        <w:rPr>
          <w:rFonts w:cs="Goudy"/>
          <w:color w:val="000000"/>
          <w:sz w:val="18"/>
          <w:szCs w:val="18"/>
          <w:lang w:val="en-US"/>
        </w:rPr>
        <w:softHyphen/>
        <w:t xml:space="preserve">ment: what’s the evidence? », </w:t>
      </w:r>
      <w:r w:rsidRPr="006F3679">
        <w:rPr>
          <w:rFonts w:cs="Goudy"/>
          <w:iCs/>
          <w:color w:val="000000"/>
          <w:sz w:val="18"/>
          <w:szCs w:val="18"/>
          <w:lang w:val="en-US"/>
        </w:rPr>
        <w:t>Public Health</w:t>
      </w:r>
      <w:r w:rsidRPr="006F3679">
        <w:rPr>
          <w:rFonts w:cs="Goudy"/>
          <w:color w:val="000000"/>
          <w:sz w:val="18"/>
          <w:szCs w:val="18"/>
          <w:lang w:val="en-US"/>
        </w:rPr>
        <w:t xml:space="preserve">, 120, 12, 1133-1139, 2006. </w:t>
      </w:r>
    </w:p>
  </w:footnote>
  <w:footnote w:id="5">
    <w:p w:rsidR="00A470F1" w:rsidRPr="006F3679" w:rsidRDefault="00A470F1" w:rsidP="001E7B36">
      <w:pPr>
        <w:pStyle w:val="Notedebasdepage"/>
        <w:rPr>
          <w:sz w:val="18"/>
          <w:szCs w:val="18"/>
          <w:lang w:val="en-US"/>
        </w:rPr>
      </w:pPr>
      <w:r w:rsidRPr="006F3679">
        <w:rPr>
          <w:rStyle w:val="Appelnotedebasdep"/>
          <w:sz w:val="18"/>
          <w:szCs w:val="18"/>
        </w:rPr>
        <w:footnoteRef/>
      </w:r>
      <w:r w:rsidRPr="006F3679">
        <w:rPr>
          <w:sz w:val="18"/>
          <w:szCs w:val="18"/>
          <w:lang w:val="en-US"/>
        </w:rPr>
        <w:t xml:space="preserve"> </w:t>
      </w:r>
      <w:r w:rsidRPr="006F3679">
        <w:rPr>
          <w:rFonts w:cs="Goudy"/>
          <w:color w:val="000000"/>
          <w:sz w:val="18"/>
          <w:szCs w:val="18"/>
          <w:lang w:val="en-US"/>
        </w:rPr>
        <w:t>M. Stead, R. Gordon, K. Angus, L. McDermott, « A systematic review of social marketing ef</w:t>
      </w:r>
      <w:r w:rsidRPr="006F3679">
        <w:rPr>
          <w:rFonts w:cs="Goudy"/>
          <w:color w:val="000000"/>
          <w:sz w:val="18"/>
          <w:szCs w:val="18"/>
          <w:lang w:val="en-US"/>
        </w:rPr>
        <w:softHyphen/>
        <w:t xml:space="preserve">fectiveness », </w:t>
      </w:r>
      <w:r w:rsidRPr="006F3679">
        <w:rPr>
          <w:rFonts w:cs="Goudy"/>
          <w:iCs/>
          <w:color w:val="000000"/>
          <w:sz w:val="18"/>
          <w:szCs w:val="18"/>
          <w:lang w:val="en-US"/>
        </w:rPr>
        <w:t>Health Education</w:t>
      </w:r>
      <w:r w:rsidRPr="006F3679">
        <w:rPr>
          <w:rFonts w:cs="Goudy"/>
          <w:color w:val="000000"/>
          <w:sz w:val="18"/>
          <w:szCs w:val="18"/>
          <w:lang w:val="en-US"/>
        </w:rPr>
        <w:t>, 107, 2, 126-191, 2007.</w:t>
      </w:r>
    </w:p>
  </w:footnote>
  <w:footnote w:id="6">
    <w:p w:rsidR="00A470F1" w:rsidRPr="006F3679" w:rsidRDefault="00A470F1" w:rsidP="001E7B36">
      <w:pPr>
        <w:pStyle w:val="Notedebasdepage"/>
        <w:rPr>
          <w:sz w:val="18"/>
          <w:szCs w:val="18"/>
        </w:rPr>
      </w:pPr>
      <w:r w:rsidRPr="006F3679">
        <w:rPr>
          <w:rStyle w:val="Appelnotedebasdep"/>
          <w:sz w:val="18"/>
          <w:szCs w:val="18"/>
        </w:rPr>
        <w:footnoteRef/>
      </w:r>
      <w:r w:rsidRPr="006F3679">
        <w:rPr>
          <w:sz w:val="18"/>
          <w:szCs w:val="18"/>
        </w:rPr>
        <w:t xml:space="preserve"> Karine </w:t>
      </w:r>
      <w:proofErr w:type="spellStart"/>
      <w:r w:rsidRPr="006F3679">
        <w:rPr>
          <w:sz w:val="18"/>
          <w:szCs w:val="18"/>
        </w:rPr>
        <w:t>Gallopel</w:t>
      </w:r>
      <w:proofErr w:type="spellEnd"/>
      <w:r w:rsidRPr="006F3679">
        <w:rPr>
          <w:sz w:val="18"/>
          <w:szCs w:val="18"/>
        </w:rPr>
        <w:t xml:space="preserve">-Morvan, « Marketing social et marketing social critique : quelle utilité pour la santé publique ? », </w:t>
      </w:r>
      <w:r w:rsidRPr="006F3679">
        <w:rPr>
          <w:iCs/>
          <w:sz w:val="18"/>
          <w:szCs w:val="18"/>
        </w:rPr>
        <w:t xml:space="preserve">Les Tribunes de la santé </w:t>
      </w:r>
      <w:r w:rsidRPr="006F3679">
        <w:rPr>
          <w:sz w:val="18"/>
          <w:szCs w:val="18"/>
        </w:rPr>
        <w:t>2014/4 (n° 45), p. 37-43. DOI 10.3917/seve.045.0037</w:t>
      </w:r>
    </w:p>
  </w:footnote>
  <w:footnote w:id="7">
    <w:p w:rsidR="00A470F1" w:rsidRPr="006F3679" w:rsidRDefault="00A470F1" w:rsidP="001E7B36">
      <w:pPr>
        <w:pStyle w:val="Notedebasdepage"/>
        <w:rPr>
          <w:sz w:val="18"/>
          <w:szCs w:val="18"/>
        </w:rPr>
      </w:pPr>
      <w:r w:rsidRPr="006F3679">
        <w:rPr>
          <w:rStyle w:val="Appelnotedebasdep"/>
          <w:sz w:val="18"/>
          <w:szCs w:val="18"/>
        </w:rPr>
        <w:footnoteRef/>
      </w:r>
      <w:r w:rsidRPr="006F3679">
        <w:rPr>
          <w:sz w:val="18"/>
          <w:szCs w:val="18"/>
        </w:rPr>
        <w:t xml:space="preserve"> </w:t>
      </w:r>
      <w:r w:rsidRPr="006F3679">
        <w:rPr>
          <w:rFonts w:cs="Arial"/>
          <w:sz w:val="18"/>
          <w:szCs w:val="18"/>
        </w:rPr>
        <w:t>https://www.tourneeminerale.be/fr/</w:t>
      </w:r>
    </w:p>
  </w:footnote>
  <w:footnote w:id="8">
    <w:p w:rsidR="00A470F1" w:rsidRPr="006F3679" w:rsidRDefault="00A470F1" w:rsidP="001E7B36">
      <w:pPr>
        <w:autoSpaceDE w:val="0"/>
        <w:autoSpaceDN w:val="0"/>
        <w:adjustRightInd w:val="0"/>
        <w:spacing w:line="240" w:lineRule="auto"/>
        <w:rPr>
          <w:sz w:val="18"/>
          <w:szCs w:val="18"/>
          <w:lang w:val="en-US"/>
        </w:rPr>
      </w:pPr>
      <w:r w:rsidRPr="006F3679">
        <w:rPr>
          <w:rStyle w:val="Appelnotedebasdep"/>
          <w:rFonts w:cs="Arial"/>
          <w:sz w:val="18"/>
          <w:szCs w:val="18"/>
        </w:rPr>
        <w:footnoteRef/>
      </w:r>
      <w:r w:rsidRPr="006F3679">
        <w:rPr>
          <w:rFonts w:cs="Arial"/>
          <w:sz w:val="18"/>
          <w:szCs w:val="18"/>
        </w:rPr>
        <w:t xml:space="preserve"> Expertise collective, </w:t>
      </w:r>
      <w:r w:rsidRPr="006F3679">
        <w:rPr>
          <w:rFonts w:eastAsia="Arial,Italic" w:cs="Arial"/>
          <w:iCs/>
          <w:sz w:val="18"/>
          <w:szCs w:val="18"/>
        </w:rPr>
        <w:t xml:space="preserve">Influence du marketing et de la publicité des industriels du tabac et de l’alcool </w:t>
      </w:r>
      <w:r w:rsidRPr="006F3679">
        <w:rPr>
          <w:rFonts w:cs="Arial"/>
          <w:sz w:val="18"/>
          <w:szCs w:val="18"/>
        </w:rPr>
        <w:t xml:space="preserve">in </w:t>
      </w:r>
      <w:r w:rsidRPr="006F3679">
        <w:rPr>
          <w:rFonts w:cs="Arial"/>
          <w:iCs/>
          <w:sz w:val="18"/>
          <w:szCs w:val="18"/>
        </w:rPr>
        <w:t>Conduites addictives chez les adolescents : Usages, prévention et accompagnement</w:t>
      </w:r>
      <w:r w:rsidRPr="006F3679">
        <w:rPr>
          <w:rFonts w:cs="Arial"/>
          <w:sz w:val="18"/>
          <w:szCs w:val="18"/>
        </w:rPr>
        <w:t xml:space="preserve">, Inserm, Editor. </w:t>
      </w:r>
      <w:r w:rsidRPr="006F3679">
        <w:rPr>
          <w:rFonts w:cs="Arial"/>
          <w:sz w:val="18"/>
          <w:szCs w:val="18"/>
          <w:lang w:val="en-US"/>
        </w:rPr>
        <w:t xml:space="preserve">2014, </w:t>
      </w:r>
      <w:proofErr w:type="spellStart"/>
      <w:r w:rsidRPr="006F3679">
        <w:rPr>
          <w:rFonts w:cs="Arial"/>
          <w:sz w:val="18"/>
          <w:szCs w:val="18"/>
          <w:lang w:val="en-US"/>
        </w:rPr>
        <w:t>Inserm</w:t>
      </w:r>
      <w:proofErr w:type="spellEnd"/>
      <w:r w:rsidRPr="006F3679">
        <w:rPr>
          <w:rFonts w:cs="Arial"/>
          <w:sz w:val="18"/>
          <w:szCs w:val="18"/>
          <w:lang w:val="en-US"/>
        </w:rPr>
        <w:t xml:space="preserve">: Paris. </w:t>
      </w:r>
      <w:proofErr w:type="gramStart"/>
      <w:r w:rsidRPr="006F3679">
        <w:rPr>
          <w:rFonts w:cs="Arial"/>
          <w:sz w:val="18"/>
          <w:szCs w:val="18"/>
          <w:lang w:val="en-US"/>
        </w:rPr>
        <w:t>P.137-147.</w:t>
      </w:r>
      <w:proofErr w:type="gramEnd"/>
    </w:p>
  </w:footnote>
  <w:footnote w:id="9">
    <w:p w:rsidR="00A470F1" w:rsidRPr="006F3679" w:rsidRDefault="00A470F1" w:rsidP="004B37BF">
      <w:pPr>
        <w:autoSpaceDE w:val="0"/>
        <w:autoSpaceDN w:val="0"/>
        <w:adjustRightInd w:val="0"/>
        <w:spacing w:line="240" w:lineRule="auto"/>
        <w:rPr>
          <w:sz w:val="18"/>
          <w:szCs w:val="18"/>
        </w:rPr>
      </w:pPr>
      <w:r w:rsidRPr="006F3679">
        <w:rPr>
          <w:rStyle w:val="Appelnotedebasdep"/>
          <w:sz w:val="18"/>
          <w:szCs w:val="18"/>
        </w:rPr>
        <w:footnoteRef/>
      </w:r>
      <w:r w:rsidRPr="006F3679">
        <w:rPr>
          <w:sz w:val="18"/>
          <w:szCs w:val="18"/>
          <w:lang w:val="en-US"/>
        </w:rPr>
        <w:t xml:space="preserve"> </w:t>
      </w:r>
      <w:r w:rsidRPr="006F3679">
        <w:rPr>
          <w:rFonts w:cs="Arial"/>
          <w:sz w:val="18"/>
          <w:szCs w:val="18"/>
          <w:lang w:val="en-US"/>
        </w:rPr>
        <w:t xml:space="preserve">Anderson, P., et al., </w:t>
      </w:r>
      <w:r w:rsidRPr="006F3679">
        <w:rPr>
          <w:rFonts w:cs="Arial"/>
          <w:iCs/>
          <w:sz w:val="18"/>
          <w:szCs w:val="18"/>
          <w:lang w:val="en-US"/>
        </w:rPr>
        <w:t>Impact of alcohol advertising and media exposure on adolescent alcohol use: a systematic</w:t>
      </w:r>
      <w:r>
        <w:rPr>
          <w:rFonts w:cs="Arial"/>
          <w:iCs/>
          <w:sz w:val="18"/>
          <w:szCs w:val="18"/>
          <w:lang w:val="en-US"/>
        </w:rPr>
        <w:t xml:space="preserve"> </w:t>
      </w:r>
      <w:r w:rsidRPr="006F3679">
        <w:rPr>
          <w:rFonts w:cs="Arial"/>
          <w:iCs/>
          <w:sz w:val="18"/>
          <w:szCs w:val="18"/>
          <w:lang w:val="en-US"/>
        </w:rPr>
        <w:t xml:space="preserve">review of longitudinal studies. </w:t>
      </w:r>
      <w:proofErr w:type="spellStart"/>
      <w:r w:rsidRPr="00A03664">
        <w:rPr>
          <w:rFonts w:cs="Arial"/>
          <w:sz w:val="18"/>
          <w:szCs w:val="18"/>
        </w:rPr>
        <w:t>Alcohol</w:t>
      </w:r>
      <w:proofErr w:type="spellEnd"/>
      <w:r w:rsidRPr="00A03664">
        <w:rPr>
          <w:rFonts w:cs="Arial"/>
          <w:sz w:val="18"/>
          <w:szCs w:val="18"/>
        </w:rPr>
        <w:t xml:space="preserve">, 2009. </w:t>
      </w:r>
      <w:r w:rsidRPr="006F3679">
        <w:rPr>
          <w:rFonts w:cs="Arial"/>
          <w:sz w:val="18"/>
          <w:szCs w:val="18"/>
        </w:rPr>
        <w:t>44(3): p. 229-43.</w:t>
      </w:r>
    </w:p>
  </w:footnote>
  <w:footnote w:id="10">
    <w:p w:rsidR="00A470F1" w:rsidRDefault="00A470F1" w:rsidP="001E7B36">
      <w:pPr>
        <w:pStyle w:val="Notedebasdepage"/>
      </w:pPr>
      <w:r w:rsidRPr="006F3679">
        <w:rPr>
          <w:rStyle w:val="Appelnotedebasdep"/>
          <w:sz w:val="18"/>
          <w:szCs w:val="18"/>
        </w:rPr>
        <w:footnoteRef/>
      </w:r>
      <w:r w:rsidRPr="006F3679">
        <w:rPr>
          <w:sz w:val="18"/>
          <w:szCs w:val="18"/>
        </w:rPr>
        <w:t xml:space="preserve"> </w:t>
      </w:r>
      <w:r>
        <w:rPr>
          <w:rFonts w:cs="Arial"/>
          <w:sz w:val="18"/>
          <w:szCs w:val="18"/>
        </w:rPr>
        <w:t>C</w:t>
      </w:r>
      <w:r w:rsidRPr="006F3679">
        <w:rPr>
          <w:rFonts w:cs="Arial"/>
          <w:sz w:val="18"/>
          <w:szCs w:val="18"/>
        </w:rPr>
        <w:t xml:space="preserve">our des Comptes, </w:t>
      </w:r>
      <w:r w:rsidRPr="006F3679">
        <w:rPr>
          <w:rFonts w:cs="Arial"/>
          <w:iCs/>
          <w:sz w:val="18"/>
          <w:szCs w:val="18"/>
        </w:rPr>
        <w:t xml:space="preserve">Les politiques de lutte contre les consommations nocives d'alcool </w:t>
      </w:r>
      <w:r w:rsidRPr="006F3679">
        <w:rPr>
          <w:rFonts w:cs="Arial"/>
          <w:sz w:val="18"/>
          <w:szCs w:val="18"/>
        </w:rPr>
        <w:t>2016: Paris.</w:t>
      </w:r>
    </w:p>
  </w:footnote>
  <w:footnote w:id="11">
    <w:p w:rsidR="00A470F1" w:rsidRPr="007C65BE" w:rsidRDefault="00A470F1" w:rsidP="001E7B36">
      <w:pPr>
        <w:pStyle w:val="Notedebasdepage"/>
        <w:rPr>
          <w:sz w:val="16"/>
          <w:szCs w:val="16"/>
          <w:lang w:val="it-IT"/>
        </w:rPr>
      </w:pPr>
      <w:r w:rsidRPr="00C14D8A">
        <w:rPr>
          <w:rStyle w:val="Appelnotedebasdep"/>
          <w:sz w:val="16"/>
          <w:szCs w:val="16"/>
        </w:rPr>
        <w:footnoteRef/>
      </w:r>
      <w:r w:rsidRPr="00C14D8A">
        <w:rPr>
          <w:sz w:val="16"/>
          <w:szCs w:val="16"/>
        </w:rPr>
        <w:t xml:space="preserve"> </w:t>
      </w:r>
      <w:proofErr w:type="spellStart"/>
      <w:r w:rsidRPr="00C14D8A">
        <w:rPr>
          <w:rStyle w:val="uppercase"/>
          <w:sz w:val="16"/>
          <w:szCs w:val="16"/>
        </w:rPr>
        <w:t>Guillemont</w:t>
      </w:r>
      <w:proofErr w:type="spellEnd"/>
      <w:r w:rsidRPr="00C14D8A">
        <w:rPr>
          <w:rStyle w:val="bluemilk"/>
          <w:sz w:val="16"/>
          <w:szCs w:val="16"/>
        </w:rPr>
        <w:t xml:space="preserve"> Juliette, </w:t>
      </w:r>
      <w:r w:rsidRPr="00C14D8A">
        <w:rPr>
          <w:rStyle w:val="uppercase"/>
          <w:sz w:val="16"/>
          <w:szCs w:val="16"/>
        </w:rPr>
        <w:t>Clément</w:t>
      </w:r>
      <w:r w:rsidRPr="00C14D8A">
        <w:rPr>
          <w:rStyle w:val="bluemilk"/>
          <w:sz w:val="16"/>
          <w:szCs w:val="16"/>
        </w:rPr>
        <w:t xml:space="preserve"> Juliette, </w:t>
      </w:r>
      <w:proofErr w:type="spellStart"/>
      <w:r w:rsidRPr="00C14D8A">
        <w:rPr>
          <w:rStyle w:val="uppercase"/>
          <w:sz w:val="16"/>
          <w:szCs w:val="16"/>
        </w:rPr>
        <w:t>Cogordan</w:t>
      </w:r>
      <w:proofErr w:type="spellEnd"/>
      <w:r w:rsidRPr="00C14D8A">
        <w:rPr>
          <w:rStyle w:val="bluemilk"/>
          <w:sz w:val="16"/>
          <w:szCs w:val="16"/>
        </w:rPr>
        <w:t xml:space="preserve"> Chloé</w:t>
      </w:r>
      <w:r w:rsidRPr="00C14D8A">
        <w:rPr>
          <w:rStyle w:val="bluemilk"/>
          <w:i/>
          <w:iCs/>
          <w:sz w:val="16"/>
          <w:szCs w:val="16"/>
        </w:rPr>
        <w:t xml:space="preserve"> et </w:t>
      </w:r>
      <w:proofErr w:type="gramStart"/>
      <w:r w:rsidRPr="00C14D8A">
        <w:rPr>
          <w:rStyle w:val="bluemilk"/>
          <w:i/>
          <w:iCs/>
          <w:sz w:val="16"/>
          <w:szCs w:val="16"/>
        </w:rPr>
        <w:t>al.</w:t>
      </w:r>
      <w:r w:rsidRPr="00C14D8A">
        <w:rPr>
          <w:rStyle w:val="bluemilk"/>
          <w:sz w:val="16"/>
          <w:szCs w:val="16"/>
        </w:rPr>
        <w:t>,</w:t>
      </w:r>
      <w:proofErr w:type="gramEnd"/>
      <w:r w:rsidRPr="00C14D8A">
        <w:rPr>
          <w:rStyle w:val="bluemilk"/>
          <w:sz w:val="16"/>
          <w:szCs w:val="16"/>
        </w:rPr>
        <w:t xml:space="preserve"> « Interventions validées ou prometteuses en prévention de la consommation d'alcool chez les jeunes : synthèse de la littérature », </w:t>
      </w:r>
      <w:r w:rsidRPr="00C14D8A">
        <w:rPr>
          <w:rStyle w:val="bluemilk"/>
          <w:i/>
          <w:iCs/>
          <w:sz w:val="16"/>
          <w:szCs w:val="16"/>
        </w:rPr>
        <w:t>Santé Publique</w:t>
      </w:r>
      <w:r w:rsidRPr="00C14D8A">
        <w:rPr>
          <w:rStyle w:val="bluemilk"/>
          <w:sz w:val="16"/>
          <w:szCs w:val="16"/>
        </w:rPr>
        <w:t xml:space="preserve">, 2013/HS1 (S1), p. 37-45. </w:t>
      </w:r>
      <w:r w:rsidRPr="007C65BE">
        <w:rPr>
          <w:rStyle w:val="bluemilk"/>
          <w:sz w:val="16"/>
          <w:szCs w:val="16"/>
          <w:lang w:val="it-IT"/>
        </w:rPr>
        <w:t>DOI : 10.3917/spub.130.0037. URL : https://www.cairn.info/revue-sante-publique-2013-HS1-page-37.htm</w:t>
      </w:r>
    </w:p>
  </w:footnote>
  <w:footnote w:id="12">
    <w:p w:rsidR="00A470F1" w:rsidRPr="000C45F4" w:rsidRDefault="00A470F1" w:rsidP="001E7B36">
      <w:pPr>
        <w:rPr>
          <w:rFonts w:cs="Arial"/>
          <w:sz w:val="18"/>
          <w:szCs w:val="18"/>
        </w:rPr>
      </w:pPr>
      <w:r w:rsidRPr="000C45F4">
        <w:rPr>
          <w:rStyle w:val="Appelnotedebasdep"/>
          <w:sz w:val="18"/>
          <w:szCs w:val="18"/>
        </w:rPr>
        <w:footnoteRef/>
      </w:r>
      <w:r w:rsidRPr="000C45F4">
        <w:rPr>
          <w:sz w:val="18"/>
          <w:szCs w:val="18"/>
        </w:rPr>
        <w:t xml:space="preserve"> </w:t>
      </w:r>
      <w:r w:rsidRPr="000C45F4">
        <w:rPr>
          <w:rFonts w:cs="Arial"/>
          <w:sz w:val="18"/>
          <w:szCs w:val="18"/>
        </w:rPr>
        <w:t xml:space="preserve">Gautier A., </w:t>
      </w:r>
      <w:proofErr w:type="spellStart"/>
      <w:r w:rsidRPr="000C45F4">
        <w:rPr>
          <w:rFonts w:cs="Arial"/>
          <w:sz w:val="18"/>
          <w:szCs w:val="18"/>
        </w:rPr>
        <w:t>dir</w:t>
      </w:r>
      <w:proofErr w:type="spellEnd"/>
      <w:r w:rsidRPr="000C45F4">
        <w:rPr>
          <w:rFonts w:cs="Arial"/>
          <w:sz w:val="18"/>
          <w:szCs w:val="18"/>
        </w:rPr>
        <w:t xml:space="preserve">. Baromètre santé médecins généralistes 2009 Saint-Denis : </w:t>
      </w:r>
      <w:proofErr w:type="spellStart"/>
      <w:r w:rsidRPr="000C45F4">
        <w:rPr>
          <w:rFonts w:cs="Arial"/>
          <w:sz w:val="18"/>
          <w:szCs w:val="18"/>
        </w:rPr>
        <w:t>Inpes</w:t>
      </w:r>
      <w:proofErr w:type="spellEnd"/>
      <w:r w:rsidRPr="000C45F4">
        <w:rPr>
          <w:rFonts w:cs="Arial"/>
          <w:sz w:val="18"/>
          <w:szCs w:val="18"/>
        </w:rPr>
        <w:t>, coll. Baromètres santé, 2011: 266p</w:t>
      </w:r>
    </w:p>
  </w:footnote>
  <w:footnote w:id="13">
    <w:p w:rsidR="00A470F1" w:rsidRPr="00C14D8A" w:rsidRDefault="00A470F1" w:rsidP="001E7B36">
      <w:pPr>
        <w:pStyle w:val="Notedebasdepage"/>
        <w:rPr>
          <w:sz w:val="16"/>
          <w:szCs w:val="16"/>
        </w:rPr>
      </w:pPr>
      <w:r w:rsidRPr="000C45F4">
        <w:rPr>
          <w:rStyle w:val="Appelnotedebasdep"/>
          <w:sz w:val="18"/>
          <w:szCs w:val="18"/>
        </w:rPr>
        <w:footnoteRef/>
      </w:r>
      <w:r w:rsidRPr="000C45F4">
        <w:rPr>
          <w:sz w:val="18"/>
          <w:szCs w:val="18"/>
        </w:rPr>
        <w:t xml:space="preserve"> </w:t>
      </w:r>
      <w:proofErr w:type="spellStart"/>
      <w:r w:rsidRPr="000C45F4">
        <w:rPr>
          <w:sz w:val="18"/>
          <w:szCs w:val="18"/>
        </w:rPr>
        <w:t>Buyck</w:t>
      </w:r>
      <w:proofErr w:type="spellEnd"/>
      <w:r w:rsidRPr="000C45F4">
        <w:rPr>
          <w:sz w:val="18"/>
          <w:szCs w:val="18"/>
        </w:rPr>
        <w:t xml:space="preserve"> JF. </w:t>
      </w:r>
      <w:proofErr w:type="spellStart"/>
      <w:r w:rsidRPr="000C45F4">
        <w:rPr>
          <w:sz w:val="18"/>
          <w:szCs w:val="18"/>
        </w:rPr>
        <w:t>Lelièvre</w:t>
      </w:r>
      <w:proofErr w:type="spellEnd"/>
      <w:r w:rsidRPr="000C45F4">
        <w:rPr>
          <w:sz w:val="18"/>
          <w:szCs w:val="18"/>
        </w:rPr>
        <w:t xml:space="preserve"> F. et al. « Attitudes et pratiques des médecins généralistes dans le cadre du suivi de la grossesse », Études et Résultats, n°977, Drees, octobre 2016</w:t>
      </w:r>
    </w:p>
  </w:footnote>
  <w:footnote w:id="14">
    <w:p w:rsidR="00A470F1" w:rsidRPr="00C14D8A" w:rsidRDefault="00A470F1" w:rsidP="001E7B36">
      <w:pPr>
        <w:rPr>
          <w:sz w:val="16"/>
          <w:szCs w:val="16"/>
          <w:lang w:val="en-US"/>
        </w:rPr>
      </w:pPr>
      <w:r w:rsidRPr="00C14D8A">
        <w:rPr>
          <w:rStyle w:val="Appelnotedebasdep"/>
          <w:sz w:val="16"/>
          <w:szCs w:val="16"/>
        </w:rPr>
        <w:footnoteRef/>
      </w:r>
      <w:r w:rsidRPr="00C14D8A">
        <w:rPr>
          <w:sz w:val="16"/>
          <w:szCs w:val="16"/>
          <w:lang w:val="en-US"/>
        </w:rPr>
        <w:t xml:space="preserve"> </w:t>
      </w:r>
      <w:proofErr w:type="spellStart"/>
      <w:r w:rsidRPr="00C14D8A">
        <w:rPr>
          <w:rFonts w:cs="Arial"/>
          <w:sz w:val="16"/>
          <w:szCs w:val="16"/>
          <w:lang w:val="en-US"/>
        </w:rPr>
        <w:t>Kaner</w:t>
      </w:r>
      <w:proofErr w:type="spellEnd"/>
      <w:r w:rsidRPr="00C14D8A">
        <w:rPr>
          <w:rFonts w:cs="Arial"/>
          <w:sz w:val="16"/>
          <w:szCs w:val="16"/>
          <w:lang w:val="en-US"/>
        </w:rPr>
        <w:t xml:space="preserve"> EF, Dickinson HO, Beyer FR </w:t>
      </w:r>
      <w:proofErr w:type="gramStart"/>
      <w:r w:rsidRPr="00C14D8A">
        <w:rPr>
          <w:rFonts w:cs="Arial"/>
          <w:sz w:val="16"/>
          <w:szCs w:val="16"/>
          <w:lang w:val="en-US"/>
        </w:rPr>
        <w:t>et</w:t>
      </w:r>
      <w:proofErr w:type="gramEnd"/>
      <w:r w:rsidRPr="00C14D8A">
        <w:rPr>
          <w:rFonts w:cs="Arial"/>
          <w:sz w:val="16"/>
          <w:szCs w:val="16"/>
          <w:lang w:val="en-US"/>
        </w:rPr>
        <w:t xml:space="preserve"> </w:t>
      </w:r>
      <w:proofErr w:type="spellStart"/>
      <w:r w:rsidRPr="00C14D8A">
        <w:rPr>
          <w:rFonts w:cs="Arial"/>
          <w:sz w:val="16"/>
          <w:szCs w:val="16"/>
          <w:lang w:val="en-US"/>
        </w:rPr>
        <w:t>al.Effectiveness</w:t>
      </w:r>
      <w:proofErr w:type="spellEnd"/>
      <w:r w:rsidRPr="00C14D8A">
        <w:rPr>
          <w:rFonts w:cs="Arial"/>
          <w:sz w:val="16"/>
          <w:szCs w:val="16"/>
          <w:lang w:val="en-US"/>
        </w:rPr>
        <w:t xml:space="preserve"> of brief alcohol interventions in primary care populations. Cochrane Database of Systematic Reviews 2007, Issue 2.</w:t>
      </w:r>
    </w:p>
  </w:footnote>
  <w:footnote w:id="15">
    <w:p w:rsidR="005A0DAE" w:rsidRPr="00325766" w:rsidRDefault="005A0DAE" w:rsidP="005A0DAE">
      <w:pPr>
        <w:pStyle w:val="Notedebasdepage"/>
        <w:rPr>
          <w:rFonts w:cs="Tahoma"/>
          <w:szCs w:val="22"/>
        </w:rPr>
      </w:pPr>
      <w:r>
        <w:rPr>
          <w:rStyle w:val="Appelnotedebasdep"/>
        </w:rPr>
        <w:footnoteRef/>
      </w:r>
      <w:r>
        <w:t xml:space="preserve"> </w:t>
      </w:r>
      <w:r w:rsidRPr="00325766">
        <w:rPr>
          <w:rFonts w:cs="Tahoma"/>
          <w:szCs w:val="22"/>
        </w:rPr>
        <w:t>Arrêté du 23 septembre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7CA"/>
    <w:multiLevelType w:val="hybridMultilevel"/>
    <w:tmpl w:val="AC98B8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343F4"/>
    <w:multiLevelType w:val="hybridMultilevel"/>
    <w:tmpl w:val="38B6F556"/>
    <w:lvl w:ilvl="0" w:tplc="04F8FED2">
      <w:start w:val="15"/>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7D6697"/>
    <w:multiLevelType w:val="hybridMultilevel"/>
    <w:tmpl w:val="4B02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9F4CAD"/>
    <w:multiLevelType w:val="hybridMultilevel"/>
    <w:tmpl w:val="C172DFB2"/>
    <w:lvl w:ilvl="0" w:tplc="985CAF1C">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2D2D4C1E"/>
    <w:multiLevelType w:val="hybridMultilevel"/>
    <w:tmpl w:val="E3748E46"/>
    <w:lvl w:ilvl="0" w:tplc="7E40FA0C">
      <w:numFmt w:val="bullet"/>
      <w:lvlText w:val="-"/>
      <w:lvlJc w:val="left"/>
      <w:pPr>
        <w:ind w:left="1076" w:hanging="320"/>
      </w:pPr>
      <w:rPr>
        <w:rFonts w:ascii="Tahoma" w:hAnsi="Tahoma" w:hint="default"/>
        <w:b w:val="0"/>
        <w:i w:val="0"/>
        <w:sz w:val="22"/>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5">
    <w:nsid w:val="2D821693"/>
    <w:multiLevelType w:val="hybridMultilevel"/>
    <w:tmpl w:val="74C2A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D65377"/>
    <w:multiLevelType w:val="hybridMultilevel"/>
    <w:tmpl w:val="EA8A324A"/>
    <w:lvl w:ilvl="0" w:tplc="04F8FED2">
      <w:start w:val="15"/>
      <w:numFmt w:val="bullet"/>
      <w:lvlText w:val="-"/>
      <w:lvlJc w:val="left"/>
      <w:pPr>
        <w:tabs>
          <w:tab w:val="num" w:pos="720"/>
        </w:tabs>
        <w:ind w:left="720" w:hanging="360"/>
      </w:pPr>
      <w:rPr>
        <w:rFonts w:ascii="Tahoma" w:eastAsia="Times New Roman" w:hAnsi="Tahoma" w:hint="default"/>
      </w:rPr>
    </w:lvl>
    <w:lvl w:ilvl="1" w:tplc="7E40FA0C">
      <w:numFmt w:val="bullet"/>
      <w:lvlText w:val="-"/>
      <w:lvlJc w:val="left"/>
      <w:pPr>
        <w:tabs>
          <w:tab w:val="num" w:pos="1440"/>
        </w:tabs>
        <w:ind w:left="1440" w:hanging="360"/>
      </w:pPr>
      <w:rPr>
        <w:rFonts w:ascii="Tahoma" w:hAnsi="Tahoma" w:hint="default"/>
        <w:b w:val="0"/>
        <w:i w:val="0"/>
        <w:sz w:val="22"/>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2C44B85"/>
    <w:multiLevelType w:val="hybridMultilevel"/>
    <w:tmpl w:val="0A4C7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A847AE"/>
    <w:multiLevelType w:val="hybridMultilevel"/>
    <w:tmpl w:val="96BE7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58073A"/>
    <w:multiLevelType w:val="multilevel"/>
    <w:tmpl w:val="DECE44FA"/>
    <w:lvl w:ilvl="0">
      <w:start w:val="1"/>
      <w:numFmt w:val="decimal"/>
      <w:pStyle w:val="Titre1"/>
      <w:lvlText w:val="%1. "/>
      <w:lvlJc w:val="left"/>
      <w:pPr>
        <w:ind w:left="432" w:hanging="432"/>
      </w:pPr>
      <w:rPr>
        <w:rFonts w:hint="default"/>
        <w:b/>
        <w:i w:val="0"/>
        <w:sz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3E534971"/>
    <w:multiLevelType w:val="hybridMultilevel"/>
    <w:tmpl w:val="EC728EF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nsid w:val="404F4D10"/>
    <w:multiLevelType w:val="hybridMultilevel"/>
    <w:tmpl w:val="466E6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01528E"/>
    <w:multiLevelType w:val="hybridMultilevel"/>
    <w:tmpl w:val="B5CA7450"/>
    <w:lvl w:ilvl="0" w:tplc="04F8FED2">
      <w:start w:val="15"/>
      <w:numFmt w:val="bullet"/>
      <w:lvlText w:val="-"/>
      <w:lvlJc w:val="left"/>
      <w:pPr>
        <w:ind w:left="3620" w:hanging="360"/>
      </w:pPr>
      <w:rPr>
        <w:rFonts w:ascii="Tahoma" w:eastAsia="Times New Roman" w:hAnsi="Tahoma" w:hint="default"/>
      </w:rPr>
    </w:lvl>
    <w:lvl w:ilvl="1" w:tplc="040C0003" w:tentative="1">
      <w:start w:val="1"/>
      <w:numFmt w:val="bullet"/>
      <w:lvlText w:val="o"/>
      <w:lvlJc w:val="left"/>
      <w:pPr>
        <w:ind w:left="4340" w:hanging="360"/>
      </w:pPr>
      <w:rPr>
        <w:rFonts w:ascii="Courier New" w:hAnsi="Courier New" w:cs="Courier New" w:hint="default"/>
      </w:rPr>
    </w:lvl>
    <w:lvl w:ilvl="2" w:tplc="040C0005" w:tentative="1">
      <w:start w:val="1"/>
      <w:numFmt w:val="bullet"/>
      <w:lvlText w:val=""/>
      <w:lvlJc w:val="left"/>
      <w:pPr>
        <w:ind w:left="5060" w:hanging="360"/>
      </w:pPr>
      <w:rPr>
        <w:rFonts w:ascii="Wingdings" w:hAnsi="Wingdings" w:hint="default"/>
      </w:rPr>
    </w:lvl>
    <w:lvl w:ilvl="3" w:tplc="040C0001" w:tentative="1">
      <w:start w:val="1"/>
      <w:numFmt w:val="bullet"/>
      <w:lvlText w:val=""/>
      <w:lvlJc w:val="left"/>
      <w:pPr>
        <w:ind w:left="5780" w:hanging="360"/>
      </w:pPr>
      <w:rPr>
        <w:rFonts w:ascii="Symbol" w:hAnsi="Symbol" w:hint="default"/>
      </w:rPr>
    </w:lvl>
    <w:lvl w:ilvl="4" w:tplc="040C0003" w:tentative="1">
      <w:start w:val="1"/>
      <w:numFmt w:val="bullet"/>
      <w:lvlText w:val="o"/>
      <w:lvlJc w:val="left"/>
      <w:pPr>
        <w:ind w:left="6500" w:hanging="360"/>
      </w:pPr>
      <w:rPr>
        <w:rFonts w:ascii="Courier New" w:hAnsi="Courier New" w:cs="Courier New" w:hint="default"/>
      </w:rPr>
    </w:lvl>
    <w:lvl w:ilvl="5" w:tplc="040C0005" w:tentative="1">
      <w:start w:val="1"/>
      <w:numFmt w:val="bullet"/>
      <w:lvlText w:val=""/>
      <w:lvlJc w:val="left"/>
      <w:pPr>
        <w:ind w:left="7220" w:hanging="360"/>
      </w:pPr>
      <w:rPr>
        <w:rFonts w:ascii="Wingdings" w:hAnsi="Wingdings" w:hint="default"/>
      </w:rPr>
    </w:lvl>
    <w:lvl w:ilvl="6" w:tplc="040C0001" w:tentative="1">
      <w:start w:val="1"/>
      <w:numFmt w:val="bullet"/>
      <w:lvlText w:val=""/>
      <w:lvlJc w:val="left"/>
      <w:pPr>
        <w:ind w:left="7940" w:hanging="360"/>
      </w:pPr>
      <w:rPr>
        <w:rFonts w:ascii="Symbol" w:hAnsi="Symbol" w:hint="default"/>
      </w:rPr>
    </w:lvl>
    <w:lvl w:ilvl="7" w:tplc="040C0003" w:tentative="1">
      <w:start w:val="1"/>
      <w:numFmt w:val="bullet"/>
      <w:lvlText w:val="o"/>
      <w:lvlJc w:val="left"/>
      <w:pPr>
        <w:ind w:left="8660" w:hanging="360"/>
      </w:pPr>
      <w:rPr>
        <w:rFonts w:ascii="Courier New" w:hAnsi="Courier New" w:cs="Courier New" w:hint="default"/>
      </w:rPr>
    </w:lvl>
    <w:lvl w:ilvl="8" w:tplc="040C0005" w:tentative="1">
      <w:start w:val="1"/>
      <w:numFmt w:val="bullet"/>
      <w:lvlText w:val=""/>
      <w:lvlJc w:val="left"/>
      <w:pPr>
        <w:ind w:left="9380" w:hanging="360"/>
      </w:pPr>
      <w:rPr>
        <w:rFonts w:ascii="Wingdings" w:hAnsi="Wingdings" w:hint="default"/>
      </w:rPr>
    </w:lvl>
  </w:abstractNum>
  <w:abstractNum w:abstractNumId="13">
    <w:nsid w:val="52C34F41"/>
    <w:multiLevelType w:val="hybridMultilevel"/>
    <w:tmpl w:val="518E2628"/>
    <w:lvl w:ilvl="0" w:tplc="7E40FA0C">
      <w:numFmt w:val="bullet"/>
      <w:lvlText w:val="-"/>
      <w:lvlJc w:val="left"/>
      <w:pPr>
        <w:ind w:left="1146" w:hanging="360"/>
      </w:pPr>
      <w:rPr>
        <w:rFonts w:ascii="Tahoma" w:hAnsi="Tahoma" w:hint="default"/>
        <w:b w:val="0"/>
        <w:i w:val="0"/>
        <w:sz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57A65667"/>
    <w:multiLevelType w:val="hybridMultilevel"/>
    <w:tmpl w:val="D63C7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49609F"/>
    <w:multiLevelType w:val="multilevel"/>
    <w:tmpl w:val="8928319C"/>
    <w:lvl w:ilvl="0">
      <w:start w:val="1"/>
      <w:numFmt w:val="lowerLetter"/>
      <w:pStyle w:val="Soustitrenor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615E1C94"/>
    <w:multiLevelType w:val="hybridMultilevel"/>
    <w:tmpl w:val="FA949DC8"/>
    <w:lvl w:ilvl="0" w:tplc="A17A6564">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2565543"/>
    <w:multiLevelType w:val="hybridMultilevel"/>
    <w:tmpl w:val="217629EE"/>
    <w:lvl w:ilvl="0" w:tplc="040C0003">
      <w:start w:val="1"/>
      <w:numFmt w:val="bullet"/>
      <w:lvlText w:val="o"/>
      <w:lvlJc w:val="left"/>
      <w:pPr>
        <w:tabs>
          <w:tab w:val="num" w:pos="720"/>
        </w:tabs>
        <w:ind w:left="720" w:hanging="360"/>
      </w:pPr>
      <w:rPr>
        <w:rFonts w:ascii="Courier New" w:hAnsi="Courier New" w:cs="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6FD3B78"/>
    <w:multiLevelType w:val="hybridMultilevel"/>
    <w:tmpl w:val="86EEBCF2"/>
    <w:lvl w:ilvl="0" w:tplc="E6D8AF4C">
      <w:start w:val="201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E66FEC"/>
    <w:multiLevelType w:val="hybridMultilevel"/>
    <w:tmpl w:val="99B064B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4A28C1"/>
    <w:multiLevelType w:val="hybridMultilevel"/>
    <w:tmpl w:val="514AE738"/>
    <w:lvl w:ilvl="0" w:tplc="324840A0">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A355C6"/>
    <w:multiLevelType w:val="multilevel"/>
    <w:tmpl w:val="1DC462D0"/>
    <w:lvl w:ilvl="0">
      <w:start w:val="1"/>
      <w:numFmt w:val="decimal"/>
      <w:pStyle w:val="StyleTitre2Tahoma11ptItalique"/>
      <w:suff w:val="space"/>
      <w:lvlText w:val="ARTICLE %1 :"/>
      <w:lvlJc w:val="left"/>
      <w:pPr>
        <w:ind w:left="360" w:hanging="360"/>
      </w:pPr>
      <w:rPr>
        <w:rFonts w:cs="Times New Roman" w:hint="default"/>
        <w:u w:val="single"/>
      </w:rPr>
    </w:lvl>
    <w:lvl w:ilvl="1">
      <w:start w:val="1"/>
      <w:numFmt w:val="decimal"/>
      <w:pStyle w:val="StyleTitre2Tahoma11ptItalique"/>
      <w:lvlText w:val="%1.%2."/>
      <w:lvlJc w:val="left"/>
      <w:pPr>
        <w:tabs>
          <w:tab w:val="num" w:pos="1134"/>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7F1C373B"/>
    <w:multiLevelType w:val="hybridMultilevel"/>
    <w:tmpl w:val="AD1C8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3"/>
  </w:num>
  <w:num w:numId="5">
    <w:abstractNumId w:val="19"/>
  </w:num>
  <w:num w:numId="6">
    <w:abstractNumId w:val="17"/>
  </w:num>
  <w:num w:numId="7">
    <w:abstractNumId w:val="8"/>
  </w:num>
  <w:num w:numId="8">
    <w:abstractNumId w:val="4"/>
  </w:num>
  <w:num w:numId="9">
    <w:abstractNumId w:val="14"/>
  </w:num>
  <w:num w:numId="10">
    <w:abstractNumId w:val="2"/>
  </w:num>
  <w:num w:numId="11">
    <w:abstractNumId w:val="10"/>
  </w:num>
  <w:num w:numId="12">
    <w:abstractNumId w:val="11"/>
  </w:num>
  <w:num w:numId="13">
    <w:abstractNumId w:val="1"/>
  </w:num>
  <w:num w:numId="14">
    <w:abstractNumId w:val="9"/>
  </w:num>
  <w:num w:numId="15">
    <w:abstractNumId w:val="7"/>
  </w:num>
  <w:num w:numId="16">
    <w:abstractNumId w:val="16"/>
  </w:num>
  <w:num w:numId="17">
    <w:abstractNumId w:val="2"/>
  </w:num>
  <w:num w:numId="18">
    <w:abstractNumId w:val="6"/>
  </w:num>
  <w:num w:numId="19">
    <w:abstractNumId w:val="12"/>
  </w:num>
  <w:num w:numId="20">
    <w:abstractNumId w:val="13"/>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5"/>
  </w:num>
  <w:num w:numId="31">
    <w:abstractNumId w:val="22"/>
  </w:num>
  <w:num w:numId="32">
    <w:abstractNumId w:val="20"/>
  </w:num>
  <w:num w:numId="33">
    <w:abstractNumId w:val="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8"/>
  </w:num>
  <w:num w:numId="3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F5"/>
    <w:rsid w:val="0000073D"/>
    <w:rsid w:val="00001D1E"/>
    <w:rsid w:val="000030B7"/>
    <w:rsid w:val="0000348E"/>
    <w:rsid w:val="00003638"/>
    <w:rsid w:val="000036DB"/>
    <w:rsid w:val="00004069"/>
    <w:rsid w:val="00006F51"/>
    <w:rsid w:val="000075E5"/>
    <w:rsid w:val="00007C42"/>
    <w:rsid w:val="0001148D"/>
    <w:rsid w:val="00012704"/>
    <w:rsid w:val="00013D18"/>
    <w:rsid w:val="000141C2"/>
    <w:rsid w:val="00014CEC"/>
    <w:rsid w:val="00014D21"/>
    <w:rsid w:val="00015533"/>
    <w:rsid w:val="00015799"/>
    <w:rsid w:val="00015C14"/>
    <w:rsid w:val="000161C9"/>
    <w:rsid w:val="00017877"/>
    <w:rsid w:val="00017B04"/>
    <w:rsid w:val="00020ED5"/>
    <w:rsid w:val="00023032"/>
    <w:rsid w:val="00024CDA"/>
    <w:rsid w:val="0002619A"/>
    <w:rsid w:val="00027046"/>
    <w:rsid w:val="000270BF"/>
    <w:rsid w:val="00031455"/>
    <w:rsid w:val="000318F2"/>
    <w:rsid w:val="00032438"/>
    <w:rsid w:val="0003298F"/>
    <w:rsid w:val="00032B37"/>
    <w:rsid w:val="00034CD4"/>
    <w:rsid w:val="00035A4C"/>
    <w:rsid w:val="0003718C"/>
    <w:rsid w:val="000410C0"/>
    <w:rsid w:val="00041B93"/>
    <w:rsid w:val="000432A5"/>
    <w:rsid w:val="00043B65"/>
    <w:rsid w:val="000451E3"/>
    <w:rsid w:val="0004552E"/>
    <w:rsid w:val="000514E8"/>
    <w:rsid w:val="00051D77"/>
    <w:rsid w:val="0005431A"/>
    <w:rsid w:val="00055701"/>
    <w:rsid w:val="0005692C"/>
    <w:rsid w:val="00056B4B"/>
    <w:rsid w:val="00056D20"/>
    <w:rsid w:val="0005762B"/>
    <w:rsid w:val="000603DD"/>
    <w:rsid w:val="0006107F"/>
    <w:rsid w:val="00061DF5"/>
    <w:rsid w:val="000646E9"/>
    <w:rsid w:val="000649C8"/>
    <w:rsid w:val="000651F1"/>
    <w:rsid w:val="00065226"/>
    <w:rsid w:val="0006735C"/>
    <w:rsid w:val="0007142A"/>
    <w:rsid w:val="0007217A"/>
    <w:rsid w:val="000734E5"/>
    <w:rsid w:val="000755BB"/>
    <w:rsid w:val="00076AC3"/>
    <w:rsid w:val="0007786D"/>
    <w:rsid w:val="00080E1A"/>
    <w:rsid w:val="00081843"/>
    <w:rsid w:val="00082AD6"/>
    <w:rsid w:val="00083093"/>
    <w:rsid w:val="00084300"/>
    <w:rsid w:val="000849B1"/>
    <w:rsid w:val="00084D23"/>
    <w:rsid w:val="00086BA1"/>
    <w:rsid w:val="00087A0E"/>
    <w:rsid w:val="00087DE4"/>
    <w:rsid w:val="00090577"/>
    <w:rsid w:val="0009264F"/>
    <w:rsid w:val="00093B5B"/>
    <w:rsid w:val="00093E2D"/>
    <w:rsid w:val="0009428F"/>
    <w:rsid w:val="000946B7"/>
    <w:rsid w:val="0009589B"/>
    <w:rsid w:val="00095DDF"/>
    <w:rsid w:val="000A0897"/>
    <w:rsid w:val="000A0BBE"/>
    <w:rsid w:val="000A0E14"/>
    <w:rsid w:val="000A195A"/>
    <w:rsid w:val="000A41EB"/>
    <w:rsid w:val="000A4834"/>
    <w:rsid w:val="000A5D55"/>
    <w:rsid w:val="000A6221"/>
    <w:rsid w:val="000A7D99"/>
    <w:rsid w:val="000A7DB7"/>
    <w:rsid w:val="000B1B40"/>
    <w:rsid w:val="000B1EFB"/>
    <w:rsid w:val="000B2BBB"/>
    <w:rsid w:val="000B2FBA"/>
    <w:rsid w:val="000B305D"/>
    <w:rsid w:val="000B3D01"/>
    <w:rsid w:val="000B3D2B"/>
    <w:rsid w:val="000B3DF1"/>
    <w:rsid w:val="000B469F"/>
    <w:rsid w:val="000B4E02"/>
    <w:rsid w:val="000B661A"/>
    <w:rsid w:val="000B6A5F"/>
    <w:rsid w:val="000C145A"/>
    <w:rsid w:val="000C3269"/>
    <w:rsid w:val="000C36FA"/>
    <w:rsid w:val="000C3EEE"/>
    <w:rsid w:val="000C48AF"/>
    <w:rsid w:val="000C57F7"/>
    <w:rsid w:val="000C655B"/>
    <w:rsid w:val="000C7127"/>
    <w:rsid w:val="000D10EA"/>
    <w:rsid w:val="000D2255"/>
    <w:rsid w:val="000D2EEA"/>
    <w:rsid w:val="000D3B81"/>
    <w:rsid w:val="000D458F"/>
    <w:rsid w:val="000D5392"/>
    <w:rsid w:val="000E06AD"/>
    <w:rsid w:val="000E1087"/>
    <w:rsid w:val="000E222D"/>
    <w:rsid w:val="000E2BAD"/>
    <w:rsid w:val="000E2CB4"/>
    <w:rsid w:val="000E2FDE"/>
    <w:rsid w:val="000E55DF"/>
    <w:rsid w:val="000E5C78"/>
    <w:rsid w:val="000E5E0C"/>
    <w:rsid w:val="000E722E"/>
    <w:rsid w:val="000E72B0"/>
    <w:rsid w:val="000E745E"/>
    <w:rsid w:val="000E7DCA"/>
    <w:rsid w:val="000F1928"/>
    <w:rsid w:val="000F3E0A"/>
    <w:rsid w:val="000F5787"/>
    <w:rsid w:val="000F5CD5"/>
    <w:rsid w:val="000F60AE"/>
    <w:rsid w:val="000F681F"/>
    <w:rsid w:val="00101752"/>
    <w:rsid w:val="00101D48"/>
    <w:rsid w:val="001028DB"/>
    <w:rsid w:val="00104DA5"/>
    <w:rsid w:val="00105A80"/>
    <w:rsid w:val="00106119"/>
    <w:rsid w:val="00111609"/>
    <w:rsid w:val="00111817"/>
    <w:rsid w:val="00111D97"/>
    <w:rsid w:val="00113E67"/>
    <w:rsid w:val="00114DD9"/>
    <w:rsid w:val="00115E49"/>
    <w:rsid w:val="0011731E"/>
    <w:rsid w:val="001178B1"/>
    <w:rsid w:val="0012266A"/>
    <w:rsid w:val="00123836"/>
    <w:rsid w:val="00123D68"/>
    <w:rsid w:val="001240BD"/>
    <w:rsid w:val="00127000"/>
    <w:rsid w:val="0013046F"/>
    <w:rsid w:val="0013104C"/>
    <w:rsid w:val="0013265B"/>
    <w:rsid w:val="00133671"/>
    <w:rsid w:val="00134152"/>
    <w:rsid w:val="001347DD"/>
    <w:rsid w:val="001358B7"/>
    <w:rsid w:val="00137A1B"/>
    <w:rsid w:val="00140B26"/>
    <w:rsid w:val="00141404"/>
    <w:rsid w:val="00142A66"/>
    <w:rsid w:val="00142C93"/>
    <w:rsid w:val="001431D1"/>
    <w:rsid w:val="0014352C"/>
    <w:rsid w:val="00144100"/>
    <w:rsid w:val="001441D1"/>
    <w:rsid w:val="00145712"/>
    <w:rsid w:val="0014602A"/>
    <w:rsid w:val="0014664B"/>
    <w:rsid w:val="001477BC"/>
    <w:rsid w:val="00150DC0"/>
    <w:rsid w:val="00152E86"/>
    <w:rsid w:val="0015458F"/>
    <w:rsid w:val="001551D5"/>
    <w:rsid w:val="00156357"/>
    <w:rsid w:val="00157DDF"/>
    <w:rsid w:val="00161510"/>
    <w:rsid w:val="0016196B"/>
    <w:rsid w:val="00162826"/>
    <w:rsid w:val="001639F5"/>
    <w:rsid w:val="00164C45"/>
    <w:rsid w:val="00164F32"/>
    <w:rsid w:val="00165055"/>
    <w:rsid w:val="00165E3F"/>
    <w:rsid w:val="0016652A"/>
    <w:rsid w:val="00166A04"/>
    <w:rsid w:val="0017023F"/>
    <w:rsid w:val="00170DB8"/>
    <w:rsid w:val="001727EA"/>
    <w:rsid w:val="001740CD"/>
    <w:rsid w:val="00174479"/>
    <w:rsid w:val="00175A24"/>
    <w:rsid w:val="001776A7"/>
    <w:rsid w:val="001778CD"/>
    <w:rsid w:val="00181B5A"/>
    <w:rsid w:val="00182267"/>
    <w:rsid w:val="00182607"/>
    <w:rsid w:val="00182714"/>
    <w:rsid w:val="0018517A"/>
    <w:rsid w:val="001851D2"/>
    <w:rsid w:val="001860B5"/>
    <w:rsid w:val="00187E07"/>
    <w:rsid w:val="00187F55"/>
    <w:rsid w:val="00190B41"/>
    <w:rsid w:val="00190C4D"/>
    <w:rsid w:val="00190CD8"/>
    <w:rsid w:val="00191D6C"/>
    <w:rsid w:val="0019242B"/>
    <w:rsid w:val="00192526"/>
    <w:rsid w:val="00192635"/>
    <w:rsid w:val="001939A8"/>
    <w:rsid w:val="001A034B"/>
    <w:rsid w:val="001A098F"/>
    <w:rsid w:val="001A118E"/>
    <w:rsid w:val="001A1564"/>
    <w:rsid w:val="001A27A3"/>
    <w:rsid w:val="001A2C6C"/>
    <w:rsid w:val="001A311A"/>
    <w:rsid w:val="001A3DD8"/>
    <w:rsid w:val="001A3EA2"/>
    <w:rsid w:val="001A3FBA"/>
    <w:rsid w:val="001A4C91"/>
    <w:rsid w:val="001A5326"/>
    <w:rsid w:val="001A59D3"/>
    <w:rsid w:val="001A5BEE"/>
    <w:rsid w:val="001A6DCA"/>
    <w:rsid w:val="001B09AE"/>
    <w:rsid w:val="001B3176"/>
    <w:rsid w:val="001B3EEE"/>
    <w:rsid w:val="001B5AA0"/>
    <w:rsid w:val="001B6D30"/>
    <w:rsid w:val="001B7472"/>
    <w:rsid w:val="001B7EC8"/>
    <w:rsid w:val="001C0153"/>
    <w:rsid w:val="001C0B5E"/>
    <w:rsid w:val="001C2AB7"/>
    <w:rsid w:val="001C2EA0"/>
    <w:rsid w:val="001C3369"/>
    <w:rsid w:val="001C3953"/>
    <w:rsid w:val="001C3A0D"/>
    <w:rsid w:val="001C3A4B"/>
    <w:rsid w:val="001C704B"/>
    <w:rsid w:val="001D07E0"/>
    <w:rsid w:val="001D0ED1"/>
    <w:rsid w:val="001D1697"/>
    <w:rsid w:val="001D1DF9"/>
    <w:rsid w:val="001D35CF"/>
    <w:rsid w:val="001D3895"/>
    <w:rsid w:val="001D51E3"/>
    <w:rsid w:val="001D5CD4"/>
    <w:rsid w:val="001D6AAC"/>
    <w:rsid w:val="001D76BF"/>
    <w:rsid w:val="001E0DF9"/>
    <w:rsid w:val="001E1619"/>
    <w:rsid w:val="001E28AF"/>
    <w:rsid w:val="001E416E"/>
    <w:rsid w:val="001E4F9C"/>
    <w:rsid w:val="001E5BE9"/>
    <w:rsid w:val="001E6AA6"/>
    <w:rsid w:val="001E6E4F"/>
    <w:rsid w:val="001E7B25"/>
    <w:rsid w:val="001E7B36"/>
    <w:rsid w:val="001F0415"/>
    <w:rsid w:val="001F0E7E"/>
    <w:rsid w:val="001F15CA"/>
    <w:rsid w:val="001F1D37"/>
    <w:rsid w:val="001F231E"/>
    <w:rsid w:val="001F448D"/>
    <w:rsid w:val="001F477A"/>
    <w:rsid w:val="001F5779"/>
    <w:rsid w:val="001F6C9D"/>
    <w:rsid w:val="001F7655"/>
    <w:rsid w:val="0020149E"/>
    <w:rsid w:val="002034D2"/>
    <w:rsid w:val="00204637"/>
    <w:rsid w:val="00205CE2"/>
    <w:rsid w:val="00206848"/>
    <w:rsid w:val="00206976"/>
    <w:rsid w:val="00206AB7"/>
    <w:rsid w:val="002071E0"/>
    <w:rsid w:val="002072CC"/>
    <w:rsid w:val="00207C63"/>
    <w:rsid w:val="002110DC"/>
    <w:rsid w:val="0021295F"/>
    <w:rsid w:val="00212A69"/>
    <w:rsid w:val="00214266"/>
    <w:rsid w:val="0021452F"/>
    <w:rsid w:val="00214B33"/>
    <w:rsid w:val="0021563C"/>
    <w:rsid w:val="00216600"/>
    <w:rsid w:val="00216DBF"/>
    <w:rsid w:val="002175A2"/>
    <w:rsid w:val="00217E50"/>
    <w:rsid w:val="0022351F"/>
    <w:rsid w:val="00224BDE"/>
    <w:rsid w:val="00224D4F"/>
    <w:rsid w:val="00225278"/>
    <w:rsid w:val="0022650B"/>
    <w:rsid w:val="00227A7D"/>
    <w:rsid w:val="00227CDC"/>
    <w:rsid w:val="00231385"/>
    <w:rsid w:val="0023243F"/>
    <w:rsid w:val="00232F20"/>
    <w:rsid w:val="00237BC9"/>
    <w:rsid w:val="002401FA"/>
    <w:rsid w:val="0024246C"/>
    <w:rsid w:val="00244133"/>
    <w:rsid w:val="00247696"/>
    <w:rsid w:val="0025056C"/>
    <w:rsid w:val="00250EDA"/>
    <w:rsid w:val="00251B81"/>
    <w:rsid w:val="002520D6"/>
    <w:rsid w:val="00252A2B"/>
    <w:rsid w:val="0025372E"/>
    <w:rsid w:val="00254AD5"/>
    <w:rsid w:val="0025525F"/>
    <w:rsid w:val="00255F24"/>
    <w:rsid w:val="00256ECE"/>
    <w:rsid w:val="00256FAA"/>
    <w:rsid w:val="0025738A"/>
    <w:rsid w:val="00257617"/>
    <w:rsid w:val="00260B9C"/>
    <w:rsid w:val="00260D94"/>
    <w:rsid w:val="002610CD"/>
    <w:rsid w:val="00261673"/>
    <w:rsid w:val="00261EF1"/>
    <w:rsid w:val="00262182"/>
    <w:rsid w:val="00262F57"/>
    <w:rsid w:val="00263272"/>
    <w:rsid w:val="002634DE"/>
    <w:rsid w:val="00264D08"/>
    <w:rsid w:val="00264EA3"/>
    <w:rsid w:val="002667F9"/>
    <w:rsid w:val="00267147"/>
    <w:rsid w:val="00270A7C"/>
    <w:rsid w:val="00270B53"/>
    <w:rsid w:val="00273FD6"/>
    <w:rsid w:val="00277D4E"/>
    <w:rsid w:val="00277EA4"/>
    <w:rsid w:val="00280CD5"/>
    <w:rsid w:val="00282BB7"/>
    <w:rsid w:val="00282D5C"/>
    <w:rsid w:val="0028312E"/>
    <w:rsid w:val="00283B46"/>
    <w:rsid w:val="00284429"/>
    <w:rsid w:val="002846E2"/>
    <w:rsid w:val="002849AD"/>
    <w:rsid w:val="00287FE6"/>
    <w:rsid w:val="002907F0"/>
    <w:rsid w:val="00290D46"/>
    <w:rsid w:val="00291CF4"/>
    <w:rsid w:val="0029229B"/>
    <w:rsid w:val="002936D0"/>
    <w:rsid w:val="00293A95"/>
    <w:rsid w:val="00293AA8"/>
    <w:rsid w:val="00295468"/>
    <w:rsid w:val="00295DDA"/>
    <w:rsid w:val="00296328"/>
    <w:rsid w:val="00296C17"/>
    <w:rsid w:val="0029736D"/>
    <w:rsid w:val="002A1839"/>
    <w:rsid w:val="002A195A"/>
    <w:rsid w:val="002A2296"/>
    <w:rsid w:val="002A365D"/>
    <w:rsid w:val="002A3A99"/>
    <w:rsid w:val="002A4242"/>
    <w:rsid w:val="002A5354"/>
    <w:rsid w:val="002A53CA"/>
    <w:rsid w:val="002A55D1"/>
    <w:rsid w:val="002A58E1"/>
    <w:rsid w:val="002A684D"/>
    <w:rsid w:val="002A69F4"/>
    <w:rsid w:val="002A6DC2"/>
    <w:rsid w:val="002A74D6"/>
    <w:rsid w:val="002B0178"/>
    <w:rsid w:val="002B0770"/>
    <w:rsid w:val="002B0A68"/>
    <w:rsid w:val="002B1166"/>
    <w:rsid w:val="002B16AA"/>
    <w:rsid w:val="002B1B3E"/>
    <w:rsid w:val="002B1C1F"/>
    <w:rsid w:val="002B2D0C"/>
    <w:rsid w:val="002B3672"/>
    <w:rsid w:val="002B37C7"/>
    <w:rsid w:val="002B3E17"/>
    <w:rsid w:val="002B407C"/>
    <w:rsid w:val="002B46F5"/>
    <w:rsid w:val="002B4CC5"/>
    <w:rsid w:val="002B533C"/>
    <w:rsid w:val="002B53F1"/>
    <w:rsid w:val="002B602A"/>
    <w:rsid w:val="002B6483"/>
    <w:rsid w:val="002B678B"/>
    <w:rsid w:val="002C11CE"/>
    <w:rsid w:val="002C1CFF"/>
    <w:rsid w:val="002C28B6"/>
    <w:rsid w:val="002C320C"/>
    <w:rsid w:val="002C339F"/>
    <w:rsid w:val="002C3E3C"/>
    <w:rsid w:val="002C406E"/>
    <w:rsid w:val="002C416A"/>
    <w:rsid w:val="002C5642"/>
    <w:rsid w:val="002C7FE5"/>
    <w:rsid w:val="002D15A5"/>
    <w:rsid w:val="002D297D"/>
    <w:rsid w:val="002D30D6"/>
    <w:rsid w:val="002D31F0"/>
    <w:rsid w:val="002D3670"/>
    <w:rsid w:val="002D43E6"/>
    <w:rsid w:val="002D56E4"/>
    <w:rsid w:val="002D5DA7"/>
    <w:rsid w:val="002D7D2C"/>
    <w:rsid w:val="002E1CA3"/>
    <w:rsid w:val="002E1E7D"/>
    <w:rsid w:val="002E1FBE"/>
    <w:rsid w:val="002E2094"/>
    <w:rsid w:val="002E2636"/>
    <w:rsid w:val="002E2854"/>
    <w:rsid w:val="002E519F"/>
    <w:rsid w:val="002E69F2"/>
    <w:rsid w:val="002E6D4D"/>
    <w:rsid w:val="002E7669"/>
    <w:rsid w:val="002F05E7"/>
    <w:rsid w:val="002F5957"/>
    <w:rsid w:val="002F5C5F"/>
    <w:rsid w:val="002F6BB4"/>
    <w:rsid w:val="002F7862"/>
    <w:rsid w:val="002F7E61"/>
    <w:rsid w:val="003011E6"/>
    <w:rsid w:val="00301616"/>
    <w:rsid w:val="00301AB4"/>
    <w:rsid w:val="00301AC8"/>
    <w:rsid w:val="003021E9"/>
    <w:rsid w:val="00302748"/>
    <w:rsid w:val="0030329E"/>
    <w:rsid w:val="00304623"/>
    <w:rsid w:val="00305A2A"/>
    <w:rsid w:val="0030687B"/>
    <w:rsid w:val="0031149C"/>
    <w:rsid w:val="003114F0"/>
    <w:rsid w:val="0031294B"/>
    <w:rsid w:val="00312FED"/>
    <w:rsid w:val="003171EB"/>
    <w:rsid w:val="003174F2"/>
    <w:rsid w:val="00320FBA"/>
    <w:rsid w:val="00322658"/>
    <w:rsid w:val="00322DAE"/>
    <w:rsid w:val="00323F2A"/>
    <w:rsid w:val="003240DB"/>
    <w:rsid w:val="003248E2"/>
    <w:rsid w:val="00326609"/>
    <w:rsid w:val="00330E26"/>
    <w:rsid w:val="00331A84"/>
    <w:rsid w:val="00333AC5"/>
    <w:rsid w:val="003344C4"/>
    <w:rsid w:val="00334F00"/>
    <w:rsid w:val="00334F88"/>
    <w:rsid w:val="00337387"/>
    <w:rsid w:val="00337FE1"/>
    <w:rsid w:val="0034300E"/>
    <w:rsid w:val="003436FC"/>
    <w:rsid w:val="0034463B"/>
    <w:rsid w:val="0034494F"/>
    <w:rsid w:val="00350F17"/>
    <w:rsid w:val="00353EE9"/>
    <w:rsid w:val="00360E37"/>
    <w:rsid w:val="0036299A"/>
    <w:rsid w:val="00362D3D"/>
    <w:rsid w:val="00362E65"/>
    <w:rsid w:val="00363B27"/>
    <w:rsid w:val="00363D23"/>
    <w:rsid w:val="003642BA"/>
    <w:rsid w:val="0036439C"/>
    <w:rsid w:val="00365AF3"/>
    <w:rsid w:val="00366CCF"/>
    <w:rsid w:val="00370AC3"/>
    <w:rsid w:val="003717E6"/>
    <w:rsid w:val="00372B2D"/>
    <w:rsid w:val="0037356E"/>
    <w:rsid w:val="003758F7"/>
    <w:rsid w:val="00375B8E"/>
    <w:rsid w:val="003771F6"/>
    <w:rsid w:val="0038061E"/>
    <w:rsid w:val="00380709"/>
    <w:rsid w:val="00381603"/>
    <w:rsid w:val="00387412"/>
    <w:rsid w:val="003910E9"/>
    <w:rsid w:val="0039112C"/>
    <w:rsid w:val="00393E4C"/>
    <w:rsid w:val="003945FB"/>
    <w:rsid w:val="00395EB8"/>
    <w:rsid w:val="00397CEC"/>
    <w:rsid w:val="00397D12"/>
    <w:rsid w:val="00397FBC"/>
    <w:rsid w:val="003A239F"/>
    <w:rsid w:val="003A244A"/>
    <w:rsid w:val="003A2A23"/>
    <w:rsid w:val="003A2C9A"/>
    <w:rsid w:val="003A4B4B"/>
    <w:rsid w:val="003A7261"/>
    <w:rsid w:val="003B5A71"/>
    <w:rsid w:val="003B5A75"/>
    <w:rsid w:val="003B5AB8"/>
    <w:rsid w:val="003B5D82"/>
    <w:rsid w:val="003B6010"/>
    <w:rsid w:val="003B66E4"/>
    <w:rsid w:val="003B684D"/>
    <w:rsid w:val="003C0297"/>
    <w:rsid w:val="003C2846"/>
    <w:rsid w:val="003C2F0D"/>
    <w:rsid w:val="003C3C7A"/>
    <w:rsid w:val="003C3E7E"/>
    <w:rsid w:val="003C65EB"/>
    <w:rsid w:val="003C70CC"/>
    <w:rsid w:val="003C7293"/>
    <w:rsid w:val="003D0C61"/>
    <w:rsid w:val="003D1011"/>
    <w:rsid w:val="003D1203"/>
    <w:rsid w:val="003D1526"/>
    <w:rsid w:val="003D389B"/>
    <w:rsid w:val="003D4416"/>
    <w:rsid w:val="003D4DAD"/>
    <w:rsid w:val="003D4E4D"/>
    <w:rsid w:val="003D4F4F"/>
    <w:rsid w:val="003D5A2E"/>
    <w:rsid w:val="003D5BA0"/>
    <w:rsid w:val="003D70D3"/>
    <w:rsid w:val="003D76FA"/>
    <w:rsid w:val="003E001A"/>
    <w:rsid w:val="003E1D1F"/>
    <w:rsid w:val="003E25D7"/>
    <w:rsid w:val="003E2716"/>
    <w:rsid w:val="003E2F92"/>
    <w:rsid w:val="003E3937"/>
    <w:rsid w:val="003E563C"/>
    <w:rsid w:val="003E5689"/>
    <w:rsid w:val="003E61C5"/>
    <w:rsid w:val="003E6579"/>
    <w:rsid w:val="003E6F73"/>
    <w:rsid w:val="003E70FE"/>
    <w:rsid w:val="003F1F64"/>
    <w:rsid w:val="003F1F9B"/>
    <w:rsid w:val="003F344B"/>
    <w:rsid w:val="003F4E09"/>
    <w:rsid w:val="003F58D6"/>
    <w:rsid w:val="003F5D28"/>
    <w:rsid w:val="003F5DFB"/>
    <w:rsid w:val="003F654B"/>
    <w:rsid w:val="003F6EAD"/>
    <w:rsid w:val="003F7671"/>
    <w:rsid w:val="0040150C"/>
    <w:rsid w:val="004022C5"/>
    <w:rsid w:val="004040E7"/>
    <w:rsid w:val="004055AA"/>
    <w:rsid w:val="00405C36"/>
    <w:rsid w:val="0040686E"/>
    <w:rsid w:val="00407696"/>
    <w:rsid w:val="00407DF2"/>
    <w:rsid w:val="004100A6"/>
    <w:rsid w:val="00410744"/>
    <w:rsid w:val="00411EAD"/>
    <w:rsid w:val="0041243E"/>
    <w:rsid w:val="00414030"/>
    <w:rsid w:val="00414AC1"/>
    <w:rsid w:val="004170B2"/>
    <w:rsid w:val="00423106"/>
    <w:rsid w:val="004236D7"/>
    <w:rsid w:val="00424883"/>
    <w:rsid w:val="004259D0"/>
    <w:rsid w:val="00427459"/>
    <w:rsid w:val="004337C7"/>
    <w:rsid w:val="00433E9C"/>
    <w:rsid w:val="00434112"/>
    <w:rsid w:val="004345E3"/>
    <w:rsid w:val="00434D38"/>
    <w:rsid w:val="00435AF8"/>
    <w:rsid w:val="0043737D"/>
    <w:rsid w:val="004374AB"/>
    <w:rsid w:val="00437A2B"/>
    <w:rsid w:val="00440457"/>
    <w:rsid w:val="00441FF4"/>
    <w:rsid w:val="004421E5"/>
    <w:rsid w:val="00445231"/>
    <w:rsid w:val="00445B42"/>
    <w:rsid w:val="004466A7"/>
    <w:rsid w:val="00446D0F"/>
    <w:rsid w:val="004473B3"/>
    <w:rsid w:val="004475B1"/>
    <w:rsid w:val="0045256B"/>
    <w:rsid w:val="00452C17"/>
    <w:rsid w:val="00452D47"/>
    <w:rsid w:val="00454462"/>
    <w:rsid w:val="0045464D"/>
    <w:rsid w:val="00454679"/>
    <w:rsid w:val="0045493D"/>
    <w:rsid w:val="00455155"/>
    <w:rsid w:val="004559EB"/>
    <w:rsid w:val="00457C14"/>
    <w:rsid w:val="004621B2"/>
    <w:rsid w:val="004628AB"/>
    <w:rsid w:val="00463239"/>
    <w:rsid w:val="004652EE"/>
    <w:rsid w:val="004665F1"/>
    <w:rsid w:val="004712E4"/>
    <w:rsid w:val="00471593"/>
    <w:rsid w:val="0047340C"/>
    <w:rsid w:val="004753F4"/>
    <w:rsid w:val="00475636"/>
    <w:rsid w:val="0047581E"/>
    <w:rsid w:val="004760A3"/>
    <w:rsid w:val="004805F5"/>
    <w:rsid w:val="004808DC"/>
    <w:rsid w:val="00483759"/>
    <w:rsid w:val="00484A3B"/>
    <w:rsid w:val="00487949"/>
    <w:rsid w:val="004902F4"/>
    <w:rsid w:val="00492054"/>
    <w:rsid w:val="0049269E"/>
    <w:rsid w:val="00493633"/>
    <w:rsid w:val="004A0A4D"/>
    <w:rsid w:val="004A0E44"/>
    <w:rsid w:val="004A13CA"/>
    <w:rsid w:val="004A17B9"/>
    <w:rsid w:val="004A1E8F"/>
    <w:rsid w:val="004A2654"/>
    <w:rsid w:val="004A39AC"/>
    <w:rsid w:val="004A4279"/>
    <w:rsid w:val="004A45EB"/>
    <w:rsid w:val="004B37BF"/>
    <w:rsid w:val="004B3C89"/>
    <w:rsid w:val="004B40FC"/>
    <w:rsid w:val="004B6C91"/>
    <w:rsid w:val="004B6EB6"/>
    <w:rsid w:val="004B7070"/>
    <w:rsid w:val="004B7185"/>
    <w:rsid w:val="004B72E9"/>
    <w:rsid w:val="004C0A40"/>
    <w:rsid w:val="004C0C9F"/>
    <w:rsid w:val="004C115C"/>
    <w:rsid w:val="004C145F"/>
    <w:rsid w:val="004C1AFD"/>
    <w:rsid w:val="004C4776"/>
    <w:rsid w:val="004C7FEC"/>
    <w:rsid w:val="004D1C58"/>
    <w:rsid w:val="004D3952"/>
    <w:rsid w:val="004D3EB6"/>
    <w:rsid w:val="004D530A"/>
    <w:rsid w:val="004D5CC5"/>
    <w:rsid w:val="004D6240"/>
    <w:rsid w:val="004D66E1"/>
    <w:rsid w:val="004D7984"/>
    <w:rsid w:val="004E005C"/>
    <w:rsid w:val="004E5931"/>
    <w:rsid w:val="004E6EDC"/>
    <w:rsid w:val="004E70FB"/>
    <w:rsid w:val="004E7827"/>
    <w:rsid w:val="004E792F"/>
    <w:rsid w:val="004E7DF6"/>
    <w:rsid w:val="004E7FAB"/>
    <w:rsid w:val="004F0F13"/>
    <w:rsid w:val="004F140C"/>
    <w:rsid w:val="004F1719"/>
    <w:rsid w:val="004F2100"/>
    <w:rsid w:val="004F2710"/>
    <w:rsid w:val="004F3060"/>
    <w:rsid w:val="004F3110"/>
    <w:rsid w:val="004F3FE6"/>
    <w:rsid w:val="004F4666"/>
    <w:rsid w:val="004F4BF9"/>
    <w:rsid w:val="0050031A"/>
    <w:rsid w:val="00500FA7"/>
    <w:rsid w:val="00501C2E"/>
    <w:rsid w:val="00501FC7"/>
    <w:rsid w:val="00503634"/>
    <w:rsid w:val="005039AE"/>
    <w:rsid w:val="00504BF9"/>
    <w:rsid w:val="00506378"/>
    <w:rsid w:val="005068F2"/>
    <w:rsid w:val="00506CB7"/>
    <w:rsid w:val="00506DE0"/>
    <w:rsid w:val="00506E0E"/>
    <w:rsid w:val="00507948"/>
    <w:rsid w:val="00510DF4"/>
    <w:rsid w:val="00510EA5"/>
    <w:rsid w:val="005118D1"/>
    <w:rsid w:val="0051345F"/>
    <w:rsid w:val="00513835"/>
    <w:rsid w:val="0051605D"/>
    <w:rsid w:val="005177AA"/>
    <w:rsid w:val="00517A72"/>
    <w:rsid w:val="0052021C"/>
    <w:rsid w:val="00522D2B"/>
    <w:rsid w:val="00523223"/>
    <w:rsid w:val="00524FA6"/>
    <w:rsid w:val="005253AD"/>
    <w:rsid w:val="005268EC"/>
    <w:rsid w:val="005277FB"/>
    <w:rsid w:val="0053032E"/>
    <w:rsid w:val="00531C61"/>
    <w:rsid w:val="00531C97"/>
    <w:rsid w:val="00533DAA"/>
    <w:rsid w:val="0053438E"/>
    <w:rsid w:val="0053515E"/>
    <w:rsid w:val="00537217"/>
    <w:rsid w:val="00537B77"/>
    <w:rsid w:val="00537D52"/>
    <w:rsid w:val="00540E47"/>
    <w:rsid w:val="00541143"/>
    <w:rsid w:val="00541A57"/>
    <w:rsid w:val="005422FD"/>
    <w:rsid w:val="00542DA3"/>
    <w:rsid w:val="00543122"/>
    <w:rsid w:val="005440B6"/>
    <w:rsid w:val="005444AA"/>
    <w:rsid w:val="00544B17"/>
    <w:rsid w:val="00545DE8"/>
    <w:rsid w:val="005475FC"/>
    <w:rsid w:val="005503DB"/>
    <w:rsid w:val="00550F1A"/>
    <w:rsid w:val="0055455D"/>
    <w:rsid w:val="00554B70"/>
    <w:rsid w:val="00557D66"/>
    <w:rsid w:val="005618A1"/>
    <w:rsid w:val="00561B9D"/>
    <w:rsid w:val="005634AA"/>
    <w:rsid w:val="00564347"/>
    <w:rsid w:val="005645A3"/>
    <w:rsid w:val="00564BBF"/>
    <w:rsid w:val="005655FF"/>
    <w:rsid w:val="00565CF1"/>
    <w:rsid w:val="0056799C"/>
    <w:rsid w:val="00567C0F"/>
    <w:rsid w:val="00567CE6"/>
    <w:rsid w:val="00567FA7"/>
    <w:rsid w:val="00571982"/>
    <w:rsid w:val="00571E82"/>
    <w:rsid w:val="0057386C"/>
    <w:rsid w:val="005748B1"/>
    <w:rsid w:val="005748EE"/>
    <w:rsid w:val="00574B85"/>
    <w:rsid w:val="00576017"/>
    <w:rsid w:val="005760CE"/>
    <w:rsid w:val="005763F4"/>
    <w:rsid w:val="00580958"/>
    <w:rsid w:val="00580AC4"/>
    <w:rsid w:val="0058118B"/>
    <w:rsid w:val="0058134B"/>
    <w:rsid w:val="00581FCD"/>
    <w:rsid w:val="00583693"/>
    <w:rsid w:val="00583AE7"/>
    <w:rsid w:val="00584946"/>
    <w:rsid w:val="005858E3"/>
    <w:rsid w:val="00585D0C"/>
    <w:rsid w:val="00585FBD"/>
    <w:rsid w:val="00586358"/>
    <w:rsid w:val="00586AED"/>
    <w:rsid w:val="005901E4"/>
    <w:rsid w:val="005919C6"/>
    <w:rsid w:val="005924F9"/>
    <w:rsid w:val="0059389B"/>
    <w:rsid w:val="005944E9"/>
    <w:rsid w:val="0059510B"/>
    <w:rsid w:val="005953A6"/>
    <w:rsid w:val="00595715"/>
    <w:rsid w:val="00597B3C"/>
    <w:rsid w:val="005A0DAE"/>
    <w:rsid w:val="005A1CB0"/>
    <w:rsid w:val="005A2010"/>
    <w:rsid w:val="005A26C9"/>
    <w:rsid w:val="005A2FBD"/>
    <w:rsid w:val="005A483D"/>
    <w:rsid w:val="005A6318"/>
    <w:rsid w:val="005B0E6B"/>
    <w:rsid w:val="005B1482"/>
    <w:rsid w:val="005B1574"/>
    <w:rsid w:val="005B2D4D"/>
    <w:rsid w:val="005B397C"/>
    <w:rsid w:val="005B4DDC"/>
    <w:rsid w:val="005B5533"/>
    <w:rsid w:val="005B6675"/>
    <w:rsid w:val="005B7B43"/>
    <w:rsid w:val="005B7CC9"/>
    <w:rsid w:val="005C11B0"/>
    <w:rsid w:val="005C168A"/>
    <w:rsid w:val="005C4DF3"/>
    <w:rsid w:val="005C58FA"/>
    <w:rsid w:val="005C6DAA"/>
    <w:rsid w:val="005C7397"/>
    <w:rsid w:val="005D01DA"/>
    <w:rsid w:val="005D0826"/>
    <w:rsid w:val="005D0848"/>
    <w:rsid w:val="005D1C23"/>
    <w:rsid w:val="005D205E"/>
    <w:rsid w:val="005D2F91"/>
    <w:rsid w:val="005D41C9"/>
    <w:rsid w:val="005D4C14"/>
    <w:rsid w:val="005D61B3"/>
    <w:rsid w:val="005D7D8D"/>
    <w:rsid w:val="005E000C"/>
    <w:rsid w:val="005E03F1"/>
    <w:rsid w:val="005E1A95"/>
    <w:rsid w:val="005E316F"/>
    <w:rsid w:val="005E3CD0"/>
    <w:rsid w:val="005E41B3"/>
    <w:rsid w:val="005E47C0"/>
    <w:rsid w:val="005E5DC6"/>
    <w:rsid w:val="005E794C"/>
    <w:rsid w:val="005F23D5"/>
    <w:rsid w:val="005F42F3"/>
    <w:rsid w:val="005F430D"/>
    <w:rsid w:val="005F4C95"/>
    <w:rsid w:val="005F5154"/>
    <w:rsid w:val="005F5461"/>
    <w:rsid w:val="005F55FF"/>
    <w:rsid w:val="005F5B0C"/>
    <w:rsid w:val="005F6224"/>
    <w:rsid w:val="005F6D15"/>
    <w:rsid w:val="005F7107"/>
    <w:rsid w:val="005F7633"/>
    <w:rsid w:val="005F7BAD"/>
    <w:rsid w:val="005F7D67"/>
    <w:rsid w:val="006007C5"/>
    <w:rsid w:val="00602CF8"/>
    <w:rsid w:val="0060481A"/>
    <w:rsid w:val="006055F6"/>
    <w:rsid w:val="00606A78"/>
    <w:rsid w:val="00606E4C"/>
    <w:rsid w:val="0060708D"/>
    <w:rsid w:val="00607414"/>
    <w:rsid w:val="00610709"/>
    <w:rsid w:val="00610C52"/>
    <w:rsid w:val="006112C7"/>
    <w:rsid w:val="00611378"/>
    <w:rsid w:val="0061146D"/>
    <w:rsid w:val="00612543"/>
    <w:rsid w:val="006125BC"/>
    <w:rsid w:val="006133FA"/>
    <w:rsid w:val="00617A62"/>
    <w:rsid w:val="00622779"/>
    <w:rsid w:val="00622E5E"/>
    <w:rsid w:val="00624940"/>
    <w:rsid w:val="0062607D"/>
    <w:rsid w:val="00627734"/>
    <w:rsid w:val="00627E89"/>
    <w:rsid w:val="00627F69"/>
    <w:rsid w:val="006323E1"/>
    <w:rsid w:val="00632571"/>
    <w:rsid w:val="00632F4D"/>
    <w:rsid w:val="00632F50"/>
    <w:rsid w:val="00633D5E"/>
    <w:rsid w:val="00634A91"/>
    <w:rsid w:val="00635586"/>
    <w:rsid w:val="006369FD"/>
    <w:rsid w:val="00636E49"/>
    <w:rsid w:val="006402DE"/>
    <w:rsid w:val="0064071C"/>
    <w:rsid w:val="00640887"/>
    <w:rsid w:val="00642700"/>
    <w:rsid w:val="006435C0"/>
    <w:rsid w:val="00643DED"/>
    <w:rsid w:val="00644A97"/>
    <w:rsid w:val="006464AD"/>
    <w:rsid w:val="00650BB8"/>
    <w:rsid w:val="00653EBB"/>
    <w:rsid w:val="00654225"/>
    <w:rsid w:val="0065507A"/>
    <w:rsid w:val="006550C3"/>
    <w:rsid w:val="00655CFD"/>
    <w:rsid w:val="00656591"/>
    <w:rsid w:val="0065680D"/>
    <w:rsid w:val="00656CA0"/>
    <w:rsid w:val="006603BB"/>
    <w:rsid w:val="0066045A"/>
    <w:rsid w:val="006614BA"/>
    <w:rsid w:val="006614D8"/>
    <w:rsid w:val="00661BDD"/>
    <w:rsid w:val="0066204B"/>
    <w:rsid w:val="006620B8"/>
    <w:rsid w:val="006621F2"/>
    <w:rsid w:val="00663739"/>
    <w:rsid w:val="0066392F"/>
    <w:rsid w:val="006644A6"/>
    <w:rsid w:val="00664A7D"/>
    <w:rsid w:val="00665002"/>
    <w:rsid w:val="0066542C"/>
    <w:rsid w:val="00665F59"/>
    <w:rsid w:val="00667530"/>
    <w:rsid w:val="00670A25"/>
    <w:rsid w:val="00672445"/>
    <w:rsid w:val="00673B94"/>
    <w:rsid w:val="00674099"/>
    <w:rsid w:val="00676616"/>
    <w:rsid w:val="00676665"/>
    <w:rsid w:val="006767B5"/>
    <w:rsid w:val="0067761F"/>
    <w:rsid w:val="006801B1"/>
    <w:rsid w:val="006806F4"/>
    <w:rsid w:val="00683D36"/>
    <w:rsid w:val="00686FA5"/>
    <w:rsid w:val="006872DD"/>
    <w:rsid w:val="0069109C"/>
    <w:rsid w:val="00693579"/>
    <w:rsid w:val="00693F0D"/>
    <w:rsid w:val="006948E1"/>
    <w:rsid w:val="006960B2"/>
    <w:rsid w:val="00696C39"/>
    <w:rsid w:val="00696E57"/>
    <w:rsid w:val="006A00BE"/>
    <w:rsid w:val="006A0491"/>
    <w:rsid w:val="006A25AB"/>
    <w:rsid w:val="006A58B3"/>
    <w:rsid w:val="006A6EDB"/>
    <w:rsid w:val="006A728F"/>
    <w:rsid w:val="006A7568"/>
    <w:rsid w:val="006B04AF"/>
    <w:rsid w:val="006B060E"/>
    <w:rsid w:val="006B1736"/>
    <w:rsid w:val="006B24E1"/>
    <w:rsid w:val="006B5C41"/>
    <w:rsid w:val="006B60A1"/>
    <w:rsid w:val="006B6203"/>
    <w:rsid w:val="006B6243"/>
    <w:rsid w:val="006B74EC"/>
    <w:rsid w:val="006B7C87"/>
    <w:rsid w:val="006C1BBA"/>
    <w:rsid w:val="006C23E7"/>
    <w:rsid w:val="006C3209"/>
    <w:rsid w:val="006C3494"/>
    <w:rsid w:val="006C40DD"/>
    <w:rsid w:val="006C5547"/>
    <w:rsid w:val="006C598C"/>
    <w:rsid w:val="006C7230"/>
    <w:rsid w:val="006D16B5"/>
    <w:rsid w:val="006D219D"/>
    <w:rsid w:val="006D2E8A"/>
    <w:rsid w:val="006D51E2"/>
    <w:rsid w:val="006D528B"/>
    <w:rsid w:val="006D6E02"/>
    <w:rsid w:val="006E09EB"/>
    <w:rsid w:val="006E3DAD"/>
    <w:rsid w:val="006E640F"/>
    <w:rsid w:val="006E722D"/>
    <w:rsid w:val="006E75AE"/>
    <w:rsid w:val="006F1506"/>
    <w:rsid w:val="006F28FC"/>
    <w:rsid w:val="006F38AB"/>
    <w:rsid w:val="006F4166"/>
    <w:rsid w:val="006F4A94"/>
    <w:rsid w:val="006F4CE2"/>
    <w:rsid w:val="006F54DA"/>
    <w:rsid w:val="006F6C17"/>
    <w:rsid w:val="006F7EFA"/>
    <w:rsid w:val="007002CA"/>
    <w:rsid w:val="007004A0"/>
    <w:rsid w:val="00701056"/>
    <w:rsid w:val="0070120E"/>
    <w:rsid w:val="00701DF9"/>
    <w:rsid w:val="007024BC"/>
    <w:rsid w:val="007028E5"/>
    <w:rsid w:val="007034BE"/>
    <w:rsid w:val="007067FB"/>
    <w:rsid w:val="00706B04"/>
    <w:rsid w:val="00706C1A"/>
    <w:rsid w:val="00710894"/>
    <w:rsid w:val="00710A6E"/>
    <w:rsid w:val="00711587"/>
    <w:rsid w:val="00712649"/>
    <w:rsid w:val="00712F30"/>
    <w:rsid w:val="00713DB1"/>
    <w:rsid w:val="00713ED3"/>
    <w:rsid w:val="00713FB5"/>
    <w:rsid w:val="00714410"/>
    <w:rsid w:val="00716B9D"/>
    <w:rsid w:val="00716E76"/>
    <w:rsid w:val="00717F6B"/>
    <w:rsid w:val="0072180B"/>
    <w:rsid w:val="007227AD"/>
    <w:rsid w:val="00722A2C"/>
    <w:rsid w:val="00722CE3"/>
    <w:rsid w:val="00722E67"/>
    <w:rsid w:val="007246D0"/>
    <w:rsid w:val="00726BCD"/>
    <w:rsid w:val="007277DA"/>
    <w:rsid w:val="00727BB0"/>
    <w:rsid w:val="00731791"/>
    <w:rsid w:val="00732464"/>
    <w:rsid w:val="00733EB3"/>
    <w:rsid w:val="00734A7B"/>
    <w:rsid w:val="00734F3A"/>
    <w:rsid w:val="007353BE"/>
    <w:rsid w:val="00736779"/>
    <w:rsid w:val="00737632"/>
    <w:rsid w:val="00737A18"/>
    <w:rsid w:val="00737C5D"/>
    <w:rsid w:val="00737C70"/>
    <w:rsid w:val="00737F3A"/>
    <w:rsid w:val="00742298"/>
    <w:rsid w:val="007433BC"/>
    <w:rsid w:val="007447EA"/>
    <w:rsid w:val="0074636D"/>
    <w:rsid w:val="00746821"/>
    <w:rsid w:val="007470AF"/>
    <w:rsid w:val="00747EBD"/>
    <w:rsid w:val="00750BCB"/>
    <w:rsid w:val="007513F5"/>
    <w:rsid w:val="0075281A"/>
    <w:rsid w:val="0075477B"/>
    <w:rsid w:val="007576E6"/>
    <w:rsid w:val="00757845"/>
    <w:rsid w:val="007579EB"/>
    <w:rsid w:val="00760933"/>
    <w:rsid w:val="00762C5E"/>
    <w:rsid w:val="007632B7"/>
    <w:rsid w:val="00763FA0"/>
    <w:rsid w:val="00764AC0"/>
    <w:rsid w:val="007677B5"/>
    <w:rsid w:val="007704F6"/>
    <w:rsid w:val="007712A6"/>
    <w:rsid w:val="00771DA9"/>
    <w:rsid w:val="00772C24"/>
    <w:rsid w:val="00773008"/>
    <w:rsid w:val="00774EDE"/>
    <w:rsid w:val="0077763E"/>
    <w:rsid w:val="00780BD5"/>
    <w:rsid w:val="0078118D"/>
    <w:rsid w:val="007816E6"/>
    <w:rsid w:val="00782457"/>
    <w:rsid w:val="00783255"/>
    <w:rsid w:val="00784954"/>
    <w:rsid w:val="0078573E"/>
    <w:rsid w:val="007858AA"/>
    <w:rsid w:val="00786164"/>
    <w:rsid w:val="0078650C"/>
    <w:rsid w:val="007914D9"/>
    <w:rsid w:val="00791730"/>
    <w:rsid w:val="00792178"/>
    <w:rsid w:val="00794B9E"/>
    <w:rsid w:val="007955FF"/>
    <w:rsid w:val="00797C69"/>
    <w:rsid w:val="007A3839"/>
    <w:rsid w:val="007A5831"/>
    <w:rsid w:val="007A6ACE"/>
    <w:rsid w:val="007A6B71"/>
    <w:rsid w:val="007A7A1E"/>
    <w:rsid w:val="007A7E6E"/>
    <w:rsid w:val="007B0058"/>
    <w:rsid w:val="007B1983"/>
    <w:rsid w:val="007B3F19"/>
    <w:rsid w:val="007B4A70"/>
    <w:rsid w:val="007B5334"/>
    <w:rsid w:val="007B6185"/>
    <w:rsid w:val="007B6D62"/>
    <w:rsid w:val="007B78B0"/>
    <w:rsid w:val="007C0E7A"/>
    <w:rsid w:val="007C2390"/>
    <w:rsid w:val="007C2978"/>
    <w:rsid w:val="007C3CCD"/>
    <w:rsid w:val="007C4471"/>
    <w:rsid w:val="007C4899"/>
    <w:rsid w:val="007C65BE"/>
    <w:rsid w:val="007D07CA"/>
    <w:rsid w:val="007D3669"/>
    <w:rsid w:val="007D3DD2"/>
    <w:rsid w:val="007D57F5"/>
    <w:rsid w:val="007D5D14"/>
    <w:rsid w:val="007D5EEA"/>
    <w:rsid w:val="007D6EE3"/>
    <w:rsid w:val="007D7ADA"/>
    <w:rsid w:val="007E0106"/>
    <w:rsid w:val="007E2D67"/>
    <w:rsid w:val="007E41C1"/>
    <w:rsid w:val="007E4AE5"/>
    <w:rsid w:val="007E53A8"/>
    <w:rsid w:val="007E5839"/>
    <w:rsid w:val="007E5FB1"/>
    <w:rsid w:val="007E6853"/>
    <w:rsid w:val="007E6A9C"/>
    <w:rsid w:val="007E6DFB"/>
    <w:rsid w:val="007E7DB7"/>
    <w:rsid w:val="007F10E1"/>
    <w:rsid w:val="007F11FB"/>
    <w:rsid w:val="007F2002"/>
    <w:rsid w:val="007F3277"/>
    <w:rsid w:val="007F36D3"/>
    <w:rsid w:val="007F3EDD"/>
    <w:rsid w:val="007F6102"/>
    <w:rsid w:val="007F73F6"/>
    <w:rsid w:val="00801A3A"/>
    <w:rsid w:val="008021DA"/>
    <w:rsid w:val="00803557"/>
    <w:rsid w:val="00805E01"/>
    <w:rsid w:val="00806152"/>
    <w:rsid w:val="008062F1"/>
    <w:rsid w:val="00806DC1"/>
    <w:rsid w:val="00807A2B"/>
    <w:rsid w:val="00811A7E"/>
    <w:rsid w:val="00812915"/>
    <w:rsid w:val="00812ACD"/>
    <w:rsid w:val="00812FEB"/>
    <w:rsid w:val="00814B2C"/>
    <w:rsid w:val="0081629E"/>
    <w:rsid w:val="00816C94"/>
    <w:rsid w:val="00817A2C"/>
    <w:rsid w:val="00820AFB"/>
    <w:rsid w:val="00821515"/>
    <w:rsid w:val="008215CE"/>
    <w:rsid w:val="00821B9F"/>
    <w:rsid w:val="00821FD5"/>
    <w:rsid w:val="00822CEE"/>
    <w:rsid w:val="0082328C"/>
    <w:rsid w:val="008237B2"/>
    <w:rsid w:val="00824359"/>
    <w:rsid w:val="00824704"/>
    <w:rsid w:val="00825ACB"/>
    <w:rsid w:val="00830ACC"/>
    <w:rsid w:val="008335D1"/>
    <w:rsid w:val="008335D3"/>
    <w:rsid w:val="00833B30"/>
    <w:rsid w:val="0083415D"/>
    <w:rsid w:val="00834193"/>
    <w:rsid w:val="0083582F"/>
    <w:rsid w:val="00836B4D"/>
    <w:rsid w:val="0084053F"/>
    <w:rsid w:val="008411CB"/>
    <w:rsid w:val="00841369"/>
    <w:rsid w:val="00843745"/>
    <w:rsid w:val="00844382"/>
    <w:rsid w:val="00845DE5"/>
    <w:rsid w:val="00846624"/>
    <w:rsid w:val="00847F61"/>
    <w:rsid w:val="00850262"/>
    <w:rsid w:val="00850611"/>
    <w:rsid w:val="008524A6"/>
    <w:rsid w:val="00853168"/>
    <w:rsid w:val="008536E2"/>
    <w:rsid w:val="00855778"/>
    <w:rsid w:val="00855D7A"/>
    <w:rsid w:val="0085653A"/>
    <w:rsid w:val="008613B4"/>
    <w:rsid w:val="00861B11"/>
    <w:rsid w:val="00861E03"/>
    <w:rsid w:val="00862062"/>
    <w:rsid w:val="00862636"/>
    <w:rsid w:val="00862883"/>
    <w:rsid w:val="00864E94"/>
    <w:rsid w:val="00865C06"/>
    <w:rsid w:val="008665F2"/>
    <w:rsid w:val="00866CAA"/>
    <w:rsid w:val="00866CE6"/>
    <w:rsid w:val="00867075"/>
    <w:rsid w:val="008679D7"/>
    <w:rsid w:val="008707D6"/>
    <w:rsid w:val="00870AD4"/>
    <w:rsid w:val="00870C05"/>
    <w:rsid w:val="00871982"/>
    <w:rsid w:val="00871ADB"/>
    <w:rsid w:val="00872EB5"/>
    <w:rsid w:val="008730C7"/>
    <w:rsid w:val="0087433B"/>
    <w:rsid w:val="008769EA"/>
    <w:rsid w:val="00880028"/>
    <w:rsid w:val="008808DA"/>
    <w:rsid w:val="00883DB5"/>
    <w:rsid w:val="008846BE"/>
    <w:rsid w:val="00884843"/>
    <w:rsid w:val="00885237"/>
    <w:rsid w:val="00886319"/>
    <w:rsid w:val="0088746A"/>
    <w:rsid w:val="0089327E"/>
    <w:rsid w:val="0089420A"/>
    <w:rsid w:val="008955BE"/>
    <w:rsid w:val="00896291"/>
    <w:rsid w:val="00896BDF"/>
    <w:rsid w:val="00897598"/>
    <w:rsid w:val="00897D16"/>
    <w:rsid w:val="008A12FB"/>
    <w:rsid w:val="008A165B"/>
    <w:rsid w:val="008A248C"/>
    <w:rsid w:val="008A402A"/>
    <w:rsid w:val="008A4369"/>
    <w:rsid w:val="008A51B6"/>
    <w:rsid w:val="008A534B"/>
    <w:rsid w:val="008A5555"/>
    <w:rsid w:val="008A70FC"/>
    <w:rsid w:val="008B2A48"/>
    <w:rsid w:val="008B2C1A"/>
    <w:rsid w:val="008B3339"/>
    <w:rsid w:val="008B353E"/>
    <w:rsid w:val="008B37A2"/>
    <w:rsid w:val="008B4061"/>
    <w:rsid w:val="008B49D0"/>
    <w:rsid w:val="008B4FA7"/>
    <w:rsid w:val="008B51D1"/>
    <w:rsid w:val="008B61A7"/>
    <w:rsid w:val="008C01C4"/>
    <w:rsid w:val="008C01E2"/>
    <w:rsid w:val="008C0326"/>
    <w:rsid w:val="008C13A4"/>
    <w:rsid w:val="008C1F40"/>
    <w:rsid w:val="008C296C"/>
    <w:rsid w:val="008C298A"/>
    <w:rsid w:val="008C32D0"/>
    <w:rsid w:val="008C3340"/>
    <w:rsid w:val="008C65FC"/>
    <w:rsid w:val="008C7B20"/>
    <w:rsid w:val="008D0FE4"/>
    <w:rsid w:val="008D2576"/>
    <w:rsid w:val="008D3518"/>
    <w:rsid w:val="008D4B92"/>
    <w:rsid w:val="008D5340"/>
    <w:rsid w:val="008D64B9"/>
    <w:rsid w:val="008D6681"/>
    <w:rsid w:val="008D6FB0"/>
    <w:rsid w:val="008D7455"/>
    <w:rsid w:val="008D7499"/>
    <w:rsid w:val="008E0A10"/>
    <w:rsid w:val="008E1C1B"/>
    <w:rsid w:val="008E2C07"/>
    <w:rsid w:val="008E4229"/>
    <w:rsid w:val="008E4406"/>
    <w:rsid w:val="008E47C0"/>
    <w:rsid w:val="008E5022"/>
    <w:rsid w:val="008E557F"/>
    <w:rsid w:val="008E59F9"/>
    <w:rsid w:val="008F05F7"/>
    <w:rsid w:val="008F0691"/>
    <w:rsid w:val="008F1AC4"/>
    <w:rsid w:val="008F32E6"/>
    <w:rsid w:val="008F35D4"/>
    <w:rsid w:val="008F5574"/>
    <w:rsid w:val="008F5FBC"/>
    <w:rsid w:val="008F6D41"/>
    <w:rsid w:val="008F76A7"/>
    <w:rsid w:val="008F787D"/>
    <w:rsid w:val="008F7FB7"/>
    <w:rsid w:val="0090129D"/>
    <w:rsid w:val="00901AFB"/>
    <w:rsid w:val="009023F0"/>
    <w:rsid w:val="00902412"/>
    <w:rsid w:val="009024DC"/>
    <w:rsid w:val="0090296F"/>
    <w:rsid w:val="009032DB"/>
    <w:rsid w:val="009040F3"/>
    <w:rsid w:val="00904C63"/>
    <w:rsid w:val="009051C3"/>
    <w:rsid w:val="009052B1"/>
    <w:rsid w:val="009061BA"/>
    <w:rsid w:val="009069F4"/>
    <w:rsid w:val="00910AAB"/>
    <w:rsid w:val="00913F76"/>
    <w:rsid w:val="00914023"/>
    <w:rsid w:val="00915263"/>
    <w:rsid w:val="009153F5"/>
    <w:rsid w:val="009155AB"/>
    <w:rsid w:val="00916FA5"/>
    <w:rsid w:val="009213E1"/>
    <w:rsid w:val="00921507"/>
    <w:rsid w:val="009217E5"/>
    <w:rsid w:val="00922E58"/>
    <w:rsid w:val="00922F22"/>
    <w:rsid w:val="00923499"/>
    <w:rsid w:val="009243A7"/>
    <w:rsid w:val="00924FB9"/>
    <w:rsid w:val="00925C24"/>
    <w:rsid w:val="00925D41"/>
    <w:rsid w:val="00927CEB"/>
    <w:rsid w:val="00930313"/>
    <w:rsid w:val="0093325B"/>
    <w:rsid w:val="009339C4"/>
    <w:rsid w:val="009352B3"/>
    <w:rsid w:val="00936BED"/>
    <w:rsid w:val="00937392"/>
    <w:rsid w:val="00937EE9"/>
    <w:rsid w:val="009412CF"/>
    <w:rsid w:val="009425A4"/>
    <w:rsid w:val="009466C7"/>
    <w:rsid w:val="009468AB"/>
    <w:rsid w:val="009478CC"/>
    <w:rsid w:val="0095135D"/>
    <w:rsid w:val="009524C4"/>
    <w:rsid w:val="00952884"/>
    <w:rsid w:val="00952A07"/>
    <w:rsid w:val="0095308E"/>
    <w:rsid w:val="009558A0"/>
    <w:rsid w:val="009568D4"/>
    <w:rsid w:val="00960CDD"/>
    <w:rsid w:val="00960F6A"/>
    <w:rsid w:val="00961A86"/>
    <w:rsid w:val="00962B37"/>
    <w:rsid w:val="00963105"/>
    <w:rsid w:val="00963EF0"/>
    <w:rsid w:val="00964287"/>
    <w:rsid w:val="009644C6"/>
    <w:rsid w:val="00965AAE"/>
    <w:rsid w:val="0096642C"/>
    <w:rsid w:val="0096789E"/>
    <w:rsid w:val="00967B59"/>
    <w:rsid w:val="0097182E"/>
    <w:rsid w:val="0097498E"/>
    <w:rsid w:val="00975E51"/>
    <w:rsid w:val="009762B8"/>
    <w:rsid w:val="00976AD9"/>
    <w:rsid w:val="00976B40"/>
    <w:rsid w:val="00976CA3"/>
    <w:rsid w:val="009778EB"/>
    <w:rsid w:val="0098022E"/>
    <w:rsid w:val="009816FF"/>
    <w:rsid w:val="009849C2"/>
    <w:rsid w:val="00985240"/>
    <w:rsid w:val="00991207"/>
    <w:rsid w:val="00993B9B"/>
    <w:rsid w:val="0099488E"/>
    <w:rsid w:val="00994AD5"/>
    <w:rsid w:val="009954B8"/>
    <w:rsid w:val="009960A4"/>
    <w:rsid w:val="00996667"/>
    <w:rsid w:val="009A02D6"/>
    <w:rsid w:val="009A11C3"/>
    <w:rsid w:val="009A2433"/>
    <w:rsid w:val="009A3D6C"/>
    <w:rsid w:val="009A48FD"/>
    <w:rsid w:val="009A6062"/>
    <w:rsid w:val="009A7AFB"/>
    <w:rsid w:val="009B083A"/>
    <w:rsid w:val="009B08F0"/>
    <w:rsid w:val="009B0AAD"/>
    <w:rsid w:val="009B4612"/>
    <w:rsid w:val="009B7007"/>
    <w:rsid w:val="009B7D09"/>
    <w:rsid w:val="009B7F0B"/>
    <w:rsid w:val="009C02B3"/>
    <w:rsid w:val="009C21FA"/>
    <w:rsid w:val="009C2543"/>
    <w:rsid w:val="009C264E"/>
    <w:rsid w:val="009C3574"/>
    <w:rsid w:val="009C405C"/>
    <w:rsid w:val="009C45F0"/>
    <w:rsid w:val="009C503E"/>
    <w:rsid w:val="009C533A"/>
    <w:rsid w:val="009C5442"/>
    <w:rsid w:val="009C6EDE"/>
    <w:rsid w:val="009C7311"/>
    <w:rsid w:val="009C7558"/>
    <w:rsid w:val="009C771D"/>
    <w:rsid w:val="009C7FFD"/>
    <w:rsid w:val="009D0D2E"/>
    <w:rsid w:val="009D3FEC"/>
    <w:rsid w:val="009D79E8"/>
    <w:rsid w:val="009E0CA9"/>
    <w:rsid w:val="009E18A6"/>
    <w:rsid w:val="009E2372"/>
    <w:rsid w:val="009E4845"/>
    <w:rsid w:val="009E635C"/>
    <w:rsid w:val="009E763A"/>
    <w:rsid w:val="009E77D7"/>
    <w:rsid w:val="009E7B96"/>
    <w:rsid w:val="009F097C"/>
    <w:rsid w:val="009F1572"/>
    <w:rsid w:val="009F20EB"/>
    <w:rsid w:val="009F20F1"/>
    <w:rsid w:val="009F2721"/>
    <w:rsid w:val="009F2CB9"/>
    <w:rsid w:val="009F31CD"/>
    <w:rsid w:val="009F3BCD"/>
    <w:rsid w:val="009F5381"/>
    <w:rsid w:val="009F542B"/>
    <w:rsid w:val="009F7B6B"/>
    <w:rsid w:val="00A009DE"/>
    <w:rsid w:val="00A02F3C"/>
    <w:rsid w:val="00A03664"/>
    <w:rsid w:val="00A0436E"/>
    <w:rsid w:val="00A04491"/>
    <w:rsid w:val="00A047E5"/>
    <w:rsid w:val="00A054EE"/>
    <w:rsid w:val="00A0577D"/>
    <w:rsid w:val="00A06E61"/>
    <w:rsid w:val="00A10F64"/>
    <w:rsid w:val="00A1145A"/>
    <w:rsid w:val="00A135A3"/>
    <w:rsid w:val="00A1398F"/>
    <w:rsid w:val="00A13AFE"/>
    <w:rsid w:val="00A13FDC"/>
    <w:rsid w:val="00A14A97"/>
    <w:rsid w:val="00A15B33"/>
    <w:rsid w:val="00A17642"/>
    <w:rsid w:val="00A1788A"/>
    <w:rsid w:val="00A17991"/>
    <w:rsid w:val="00A2058C"/>
    <w:rsid w:val="00A20E8C"/>
    <w:rsid w:val="00A2201B"/>
    <w:rsid w:val="00A226E8"/>
    <w:rsid w:val="00A22F78"/>
    <w:rsid w:val="00A24897"/>
    <w:rsid w:val="00A31EA6"/>
    <w:rsid w:val="00A320E6"/>
    <w:rsid w:val="00A33E2E"/>
    <w:rsid w:val="00A33E7A"/>
    <w:rsid w:val="00A3508D"/>
    <w:rsid w:val="00A368FB"/>
    <w:rsid w:val="00A36E2E"/>
    <w:rsid w:val="00A37A8F"/>
    <w:rsid w:val="00A41B88"/>
    <w:rsid w:val="00A4228A"/>
    <w:rsid w:val="00A427AB"/>
    <w:rsid w:val="00A42806"/>
    <w:rsid w:val="00A42B45"/>
    <w:rsid w:val="00A435D5"/>
    <w:rsid w:val="00A46A4D"/>
    <w:rsid w:val="00A470F1"/>
    <w:rsid w:val="00A51DD0"/>
    <w:rsid w:val="00A5290F"/>
    <w:rsid w:val="00A53F76"/>
    <w:rsid w:val="00A54390"/>
    <w:rsid w:val="00A55DC1"/>
    <w:rsid w:val="00A571C0"/>
    <w:rsid w:val="00A57DCA"/>
    <w:rsid w:val="00A606F7"/>
    <w:rsid w:val="00A60E83"/>
    <w:rsid w:val="00A62375"/>
    <w:rsid w:val="00A62C03"/>
    <w:rsid w:val="00A635C1"/>
    <w:rsid w:val="00A6488E"/>
    <w:rsid w:val="00A64DF0"/>
    <w:rsid w:val="00A65164"/>
    <w:rsid w:val="00A65924"/>
    <w:rsid w:val="00A719B3"/>
    <w:rsid w:val="00A7311F"/>
    <w:rsid w:val="00A73C6B"/>
    <w:rsid w:val="00A757D3"/>
    <w:rsid w:val="00A7613F"/>
    <w:rsid w:val="00A777D6"/>
    <w:rsid w:val="00A82F5E"/>
    <w:rsid w:val="00A8306E"/>
    <w:rsid w:val="00A83BDC"/>
    <w:rsid w:val="00A83E4F"/>
    <w:rsid w:val="00A84822"/>
    <w:rsid w:val="00A901BF"/>
    <w:rsid w:val="00A9021C"/>
    <w:rsid w:val="00A92EB7"/>
    <w:rsid w:val="00A93C53"/>
    <w:rsid w:val="00A944AE"/>
    <w:rsid w:val="00A94617"/>
    <w:rsid w:val="00A955A5"/>
    <w:rsid w:val="00A960D4"/>
    <w:rsid w:val="00A971FF"/>
    <w:rsid w:val="00AA0106"/>
    <w:rsid w:val="00AA05B8"/>
    <w:rsid w:val="00AA073D"/>
    <w:rsid w:val="00AA11B8"/>
    <w:rsid w:val="00AA3CCE"/>
    <w:rsid w:val="00AA67CE"/>
    <w:rsid w:val="00AA6C23"/>
    <w:rsid w:val="00AA7EC6"/>
    <w:rsid w:val="00AB0163"/>
    <w:rsid w:val="00AB0CBD"/>
    <w:rsid w:val="00AB12D1"/>
    <w:rsid w:val="00AB1FB9"/>
    <w:rsid w:val="00AB2AE0"/>
    <w:rsid w:val="00AB2D49"/>
    <w:rsid w:val="00AB454C"/>
    <w:rsid w:val="00AB4F54"/>
    <w:rsid w:val="00AB5149"/>
    <w:rsid w:val="00AB53F9"/>
    <w:rsid w:val="00AB5C2A"/>
    <w:rsid w:val="00AC1351"/>
    <w:rsid w:val="00AC1F5D"/>
    <w:rsid w:val="00AC4419"/>
    <w:rsid w:val="00AC4F8E"/>
    <w:rsid w:val="00AC5601"/>
    <w:rsid w:val="00AC74D1"/>
    <w:rsid w:val="00AD02B1"/>
    <w:rsid w:val="00AD0D2C"/>
    <w:rsid w:val="00AD2747"/>
    <w:rsid w:val="00AD2CC3"/>
    <w:rsid w:val="00AD512A"/>
    <w:rsid w:val="00AD57B3"/>
    <w:rsid w:val="00AD64C2"/>
    <w:rsid w:val="00AD6C11"/>
    <w:rsid w:val="00AE003E"/>
    <w:rsid w:val="00AE0374"/>
    <w:rsid w:val="00AE1B18"/>
    <w:rsid w:val="00AE2626"/>
    <w:rsid w:val="00AE2B5F"/>
    <w:rsid w:val="00AE459D"/>
    <w:rsid w:val="00AE60AA"/>
    <w:rsid w:val="00AE655D"/>
    <w:rsid w:val="00AE6585"/>
    <w:rsid w:val="00AE7365"/>
    <w:rsid w:val="00AF0E8E"/>
    <w:rsid w:val="00AF1352"/>
    <w:rsid w:val="00AF52DE"/>
    <w:rsid w:val="00AF6A47"/>
    <w:rsid w:val="00AF6BA3"/>
    <w:rsid w:val="00AF7576"/>
    <w:rsid w:val="00AF77AE"/>
    <w:rsid w:val="00B00685"/>
    <w:rsid w:val="00B01F54"/>
    <w:rsid w:val="00B02035"/>
    <w:rsid w:val="00B02B99"/>
    <w:rsid w:val="00B0399D"/>
    <w:rsid w:val="00B03D95"/>
    <w:rsid w:val="00B05992"/>
    <w:rsid w:val="00B05DB1"/>
    <w:rsid w:val="00B0621B"/>
    <w:rsid w:val="00B06813"/>
    <w:rsid w:val="00B069BE"/>
    <w:rsid w:val="00B06C0C"/>
    <w:rsid w:val="00B0755F"/>
    <w:rsid w:val="00B11765"/>
    <w:rsid w:val="00B11A7D"/>
    <w:rsid w:val="00B120FF"/>
    <w:rsid w:val="00B12BD1"/>
    <w:rsid w:val="00B13378"/>
    <w:rsid w:val="00B14252"/>
    <w:rsid w:val="00B156C6"/>
    <w:rsid w:val="00B158D5"/>
    <w:rsid w:val="00B1641D"/>
    <w:rsid w:val="00B20373"/>
    <w:rsid w:val="00B22465"/>
    <w:rsid w:val="00B22763"/>
    <w:rsid w:val="00B22D00"/>
    <w:rsid w:val="00B23BF5"/>
    <w:rsid w:val="00B2471B"/>
    <w:rsid w:val="00B24C04"/>
    <w:rsid w:val="00B24E39"/>
    <w:rsid w:val="00B27715"/>
    <w:rsid w:val="00B305CD"/>
    <w:rsid w:val="00B30CCC"/>
    <w:rsid w:val="00B317DD"/>
    <w:rsid w:val="00B31999"/>
    <w:rsid w:val="00B31D51"/>
    <w:rsid w:val="00B32A54"/>
    <w:rsid w:val="00B32BE6"/>
    <w:rsid w:val="00B32D3C"/>
    <w:rsid w:val="00B33165"/>
    <w:rsid w:val="00B33509"/>
    <w:rsid w:val="00B33B6D"/>
    <w:rsid w:val="00B3400D"/>
    <w:rsid w:val="00B34501"/>
    <w:rsid w:val="00B349BF"/>
    <w:rsid w:val="00B35A21"/>
    <w:rsid w:val="00B36099"/>
    <w:rsid w:val="00B43519"/>
    <w:rsid w:val="00B43761"/>
    <w:rsid w:val="00B43F7E"/>
    <w:rsid w:val="00B44A9F"/>
    <w:rsid w:val="00B459A3"/>
    <w:rsid w:val="00B4629C"/>
    <w:rsid w:val="00B47016"/>
    <w:rsid w:val="00B4768F"/>
    <w:rsid w:val="00B50981"/>
    <w:rsid w:val="00B50C34"/>
    <w:rsid w:val="00B50D39"/>
    <w:rsid w:val="00B518B4"/>
    <w:rsid w:val="00B51B68"/>
    <w:rsid w:val="00B51F4E"/>
    <w:rsid w:val="00B51F98"/>
    <w:rsid w:val="00B52CDD"/>
    <w:rsid w:val="00B536CD"/>
    <w:rsid w:val="00B536EF"/>
    <w:rsid w:val="00B53FCC"/>
    <w:rsid w:val="00B555B6"/>
    <w:rsid w:val="00B55D7A"/>
    <w:rsid w:val="00B56DA7"/>
    <w:rsid w:val="00B57688"/>
    <w:rsid w:val="00B63F11"/>
    <w:rsid w:val="00B63FBD"/>
    <w:rsid w:val="00B65841"/>
    <w:rsid w:val="00B65E25"/>
    <w:rsid w:val="00B67FF7"/>
    <w:rsid w:val="00B724CF"/>
    <w:rsid w:val="00B74132"/>
    <w:rsid w:val="00B75276"/>
    <w:rsid w:val="00B7566C"/>
    <w:rsid w:val="00B77153"/>
    <w:rsid w:val="00B7720B"/>
    <w:rsid w:val="00B80179"/>
    <w:rsid w:val="00B804AE"/>
    <w:rsid w:val="00B80AD8"/>
    <w:rsid w:val="00B82F24"/>
    <w:rsid w:val="00B83541"/>
    <w:rsid w:val="00B83A54"/>
    <w:rsid w:val="00B8552A"/>
    <w:rsid w:val="00B8606F"/>
    <w:rsid w:val="00B86150"/>
    <w:rsid w:val="00B87E08"/>
    <w:rsid w:val="00B91966"/>
    <w:rsid w:val="00B91F06"/>
    <w:rsid w:val="00B92091"/>
    <w:rsid w:val="00B9464D"/>
    <w:rsid w:val="00B95475"/>
    <w:rsid w:val="00B95E2D"/>
    <w:rsid w:val="00B977F1"/>
    <w:rsid w:val="00BA07D4"/>
    <w:rsid w:val="00BA0DD2"/>
    <w:rsid w:val="00BA6AEC"/>
    <w:rsid w:val="00BB031F"/>
    <w:rsid w:val="00BB0374"/>
    <w:rsid w:val="00BB0B67"/>
    <w:rsid w:val="00BB0C23"/>
    <w:rsid w:val="00BB1574"/>
    <w:rsid w:val="00BB16B9"/>
    <w:rsid w:val="00BB2814"/>
    <w:rsid w:val="00BB43F3"/>
    <w:rsid w:val="00BB7A1F"/>
    <w:rsid w:val="00BC039D"/>
    <w:rsid w:val="00BC1060"/>
    <w:rsid w:val="00BC49A5"/>
    <w:rsid w:val="00BC4F42"/>
    <w:rsid w:val="00BD0EF9"/>
    <w:rsid w:val="00BD27E1"/>
    <w:rsid w:val="00BD361D"/>
    <w:rsid w:val="00BD36F1"/>
    <w:rsid w:val="00BD4DA7"/>
    <w:rsid w:val="00BD60AA"/>
    <w:rsid w:val="00BD6601"/>
    <w:rsid w:val="00BD6AD3"/>
    <w:rsid w:val="00BE1B03"/>
    <w:rsid w:val="00BE28F5"/>
    <w:rsid w:val="00BE389C"/>
    <w:rsid w:val="00BE400B"/>
    <w:rsid w:val="00BE4385"/>
    <w:rsid w:val="00BE43D8"/>
    <w:rsid w:val="00BE44AD"/>
    <w:rsid w:val="00BE65C6"/>
    <w:rsid w:val="00BE6784"/>
    <w:rsid w:val="00BE7759"/>
    <w:rsid w:val="00BE7B83"/>
    <w:rsid w:val="00BE7E24"/>
    <w:rsid w:val="00BF036E"/>
    <w:rsid w:val="00BF0731"/>
    <w:rsid w:val="00BF10A8"/>
    <w:rsid w:val="00BF1D11"/>
    <w:rsid w:val="00BF1EE3"/>
    <w:rsid w:val="00BF2FA0"/>
    <w:rsid w:val="00BF3475"/>
    <w:rsid w:val="00BF3A23"/>
    <w:rsid w:val="00BF4330"/>
    <w:rsid w:val="00BF517E"/>
    <w:rsid w:val="00BF5B33"/>
    <w:rsid w:val="00BF646F"/>
    <w:rsid w:val="00BF6D34"/>
    <w:rsid w:val="00BF7C18"/>
    <w:rsid w:val="00BF7DA5"/>
    <w:rsid w:val="00C005AB"/>
    <w:rsid w:val="00C008CB"/>
    <w:rsid w:val="00C01ACF"/>
    <w:rsid w:val="00C02B02"/>
    <w:rsid w:val="00C040FB"/>
    <w:rsid w:val="00C0514C"/>
    <w:rsid w:val="00C05500"/>
    <w:rsid w:val="00C07897"/>
    <w:rsid w:val="00C07C5D"/>
    <w:rsid w:val="00C07E1F"/>
    <w:rsid w:val="00C1077B"/>
    <w:rsid w:val="00C112F9"/>
    <w:rsid w:val="00C120B7"/>
    <w:rsid w:val="00C13BD7"/>
    <w:rsid w:val="00C1447A"/>
    <w:rsid w:val="00C1491B"/>
    <w:rsid w:val="00C154CA"/>
    <w:rsid w:val="00C15761"/>
    <w:rsid w:val="00C16050"/>
    <w:rsid w:val="00C1670E"/>
    <w:rsid w:val="00C16D0B"/>
    <w:rsid w:val="00C173BD"/>
    <w:rsid w:val="00C17B4D"/>
    <w:rsid w:val="00C17E13"/>
    <w:rsid w:val="00C20397"/>
    <w:rsid w:val="00C22326"/>
    <w:rsid w:val="00C24190"/>
    <w:rsid w:val="00C2544B"/>
    <w:rsid w:val="00C255D5"/>
    <w:rsid w:val="00C25841"/>
    <w:rsid w:val="00C25CB6"/>
    <w:rsid w:val="00C25F96"/>
    <w:rsid w:val="00C26247"/>
    <w:rsid w:val="00C2672D"/>
    <w:rsid w:val="00C32589"/>
    <w:rsid w:val="00C32B7B"/>
    <w:rsid w:val="00C34A91"/>
    <w:rsid w:val="00C34D7D"/>
    <w:rsid w:val="00C36F49"/>
    <w:rsid w:val="00C37033"/>
    <w:rsid w:val="00C37243"/>
    <w:rsid w:val="00C37808"/>
    <w:rsid w:val="00C37A14"/>
    <w:rsid w:val="00C41FB8"/>
    <w:rsid w:val="00C4425C"/>
    <w:rsid w:val="00C46877"/>
    <w:rsid w:val="00C46CFF"/>
    <w:rsid w:val="00C472E0"/>
    <w:rsid w:val="00C47A65"/>
    <w:rsid w:val="00C47B77"/>
    <w:rsid w:val="00C50E9B"/>
    <w:rsid w:val="00C53551"/>
    <w:rsid w:val="00C5448A"/>
    <w:rsid w:val="00C55CC0"/>
    <w:rsid w:val="00C56F88"/>
    <w:rsid w:val="00C57292"/>
    <w:rsid w:val="00C61304"/>
    <w:rsid w:val="00C613A5"/>
    <w:rsid w:val="00C6164D"/>
    <w:rsid w:val="00C6195C"/>
    <w:rsid w:val="00C627E9"/>
    <w:rsid w:val="00C639F0"/>
    <w:rsid w:val="00C645BB"/>
    <w:rsid w:val="00C648DF"/>
    <w:rsid w:val="00C64CFC"/>
    <w:rsid w:val="00C6516D"/>
    <w:rsid w:val="00C67A60"/>
    <w:rsid w:val="00C70034"/>
    <w:rsid w:val="00C704D6"/>
    <w:rsid w:val="00C70A5D"/>
    <w:rsid w:val="00C70FBB"/>
    <w:rsid w:val="00C732BF"/>
    <w:rsid w:val="00C736F9"/>
    <w:rsid w:val="00C748AE"/>
    <w:rsid w:val="00C7538C"/>
    <w:rsid w:val="00C763BD"/>
    <w:rsid w:val="00C7781D"/>
    <w:rsid w:val="00C801A1"/>
    <w:rsid w:val="00C8084A"/>
    <w:rsid w:val="00C81609"/>
    <w:rsid w:val="00C819D8"/>
    <w:rsid w:val="00C81FA2"/>
    <w:rsid w:val="00C8252E"/>
    <w:rsid w:val="00C847F5"/>
    <w:rsid w:val="00C84804"/>
    <w:rsid w:val="00C855E6"/>
    <w:rsid w:val="00C8660D"/>
    <w:rsid w:val="00C866A4"/>
    <w:rsid w:val="00C86F6D"/>
    <w:rsid w:val="00C87411"/>
    <w:rsid w:val="00C8748A"/>
    <w:rsid w:val="00C8749C"/>
    <w:rsid w:val="00C878AC"/>
    <w:rsid w:val="00C87E9C"/>
    <w:rsid w:val="00C90D21"/>
    <w:rsid w:val="00C924AD"/>
    <w:rsid w:val="00C93AB6"/>
    <w:rsid w:val="00C95CFD"/>
    <w:rsid w:val="00C9620A"/>
    <w:rsid w:val="00C96431"/>
    <w:rsid w:val="00C96BC1"/>
    <w:rsid w:val="00C96FA3"/>
    <w:rsid w:val="00C970A8"/>
    <w:rsid w:val="00C97EC4"/>
    <w:rsid w:val="00CA01CF"/>
    <w:rsid w:val="00CA04CE"/>
    <w:rsid w:val="00CA0989"/>
    <w:rsid w:val="00CA09A4"/>
    <w:rsid w:val="00CA1349"/>
    <w:rsid w:val="00CA2282"/>
    <w:rsid w:val="00CA2B31"/>
    <w:rsid w:val="00CA3BDB"/>
    <w:rsid w:val="00CA3CC5"/>
    <w:rsid w:val="00CA4D24"/>
    <w:rsid w:val="00CA4EDB"/>
    <w:rsid w:val="00CA78C9"/>
    <w:rsid w:val="00CB044E"/>
    <w:rsid w:val="00CB13D5"/>
    <w:rsid w:val="00CB192E"/>
    <w:rsid w:val="00CB1B48"/>
    <w:rsid w:val="00CB2408"/>
    <w:rsid w:val="00CB247D"/>
    <w:rsid w:val="00CB2541"/>
    <w:rsid w:val="00CB341C"/>
    <w:rsid w:val="00CB4690"/>
    <w:rsid w:val="00CB49A7"/>
    <w:rsid w:val="00CB59FF"/>
    <w:rsid w:val="00CB6BD8"/>
    <w:rsid w:val="00CC0138"/>
    <w:rsid w:val="00CC0CC3"/>
    <w:rsid w:val="00CC1F69"/>
    <w:rsid w:val="00CC1FDE"/>
    <w:rsid w:val="00CC2101"/>
    <w:rsid w:val="00CC6718"/>
    <w:rsid w:val="00CC6B8A"/>
    <w:rsid w:val="00CC7140"/>
    <w:rsid w:val="00CC72AC"/>
    <w:rsid w:val="00CC7BAA"/>
    <w:rsid w:val="00CD0040"/>
    <w:rsid w:val="00CD07FF"/>
    <w:rsid w:val="00CD0EF3"/>
    <w:rsid w:val="00CD1512"/>
    <w:rsid w:val="00CD20AB"/>
    <w:rsid w:val="00CD3B3F"/>
    <w:rsid w:val="00CD3F52"/>
    <w:rsid w:val="00CD4429"/>
    <w:rsid w:val="00CD49F2"/>
    <w:rsid w:val="00CD4BF9"/>
    <w:rsid w:val="00CD4D43"/>
    <w:rsid w:val="00CD5854"/>
    <w:rsid w:val="00CD5AF5"/>
    <w:rsid w:val="00CD5FDA"/>
    <w:rsid w:val="00CE0FD9"/>
    <w:rsid w:val="00CE15EF"/>
    <w:rsid w:val="00CE2288"/>
    <w:rsid w:val="00CE29BF"/>
    <w:rsid w:val="00CE2B65"/>
    <w:rsid w:val="00CE4144"/>
    <w:rsid w:val="00CE4D0D"/>
    <w:rsid w:val="00CE6901"/>
    <w:rsid w:val="00CE6EB4"/>
    <w:rsid w:val="00CE7A8B"/>
    <w:rsid w:val="00CF00FD"/>
    <w:rsid w:val="00CF033D"/>
    <w:rsid w:val="00CF0D3D"/>
    <w:rsid w:val="00CF2146"/>
    <w:rsid w:val="00CF2E41"/>
    <w:rsid w:val="00CF34A6"/>
    <w:rsid w:val="00CF3E20"/>
    <w:rsid w:val="00CF3E44"/>
    <w:rsid w:val="00CF54DB"/>
    <w:rsid w:val="00CF7C33"/>
    <w:rsid w:val="00D014BF"/>
    <w:rsid w:val="00D0327B"/>
    <w:rsid w:val="00D03327"/>
    <w:rsid w:val="00D036C0"/>
    <w:rsid w:val="00D03D5C"/>
    <w:rsid w:val="00D03F1B"/>
    <w:rsid w:val="00D052C1"/>
    <w:rsid w:val="00D075DE"/>
    <w:rsid w:val="00D11A85"/>
    <w:rsid w:val="00D11B3F"/>
    <w:rsid w:val="00D12055"/>
    <w:rsid w:val="00D13986"/>
    <w:rsid w:val="00D1531D"/>
    <w:rsid w:val="00D17D6C"/>
    <w:rsid w:val="00D2099E"/>
    <w:rsid w:val="00D20B22"/>
    <w:rsid w:val="00D220A1"/>
    <w:rsid w:val="00D22324"/>
    <w:rsid w:val="00D22DCC"/>
    <w:rsid w:val="00D24735"/>
    <w:rsid w:val="00D25114"/>
    <w:rsid w:val="00D256FE"/>
    <w:rsid w:val="00D25887"/>
    <w:rsid w:val="00D27551"/>
    <w:rsid w:val="00D27675"/>
    <w:rsid w:val="00D306F4"/>
    <w:rsid w:val="00D3138D"/>
    <w:rsid w:val="00D3265E"/>
    <w:rsid w:val="00D336D5"/>
    <w:rsid w:val="00D34099"/>
    <w:rsid w:val="00D34620"/>
    <w:rsid w:val="00D355F1"/>
    <w:rsid w:val="00D35728"/>
    <w:rsid w:val="00D35C18"/>
    <w:rsid w:val="00D37445"/>
    <w:rsid w:val="00D3787A"/>
    <w:rsid w:val="00D40D52"/>
    <w:rsid w:val="00D40E67"/>
    <w:rsid w:val="00D414D8"/>
    <w:rsid w:val="00D43838"/>
    <w:rsid w:val="00D43B50"/>
    <w:rsid w:val="00D43DB3"/>
    <w:rsid w:val="00D43ED3"/>
    <w:rsid w:val="00D44C16"/>
    <w:rsid w:val="00D45D00"/>
    <w:rsid w:val="00D45DE4"/>
    <w:rsid w:val="00D466F5"/>
    <w:rsid w:val="00D46B9A"/>
    <w:rsid w:val="00D47622"/>
    <w:rsid w:val="00D47C68"/>
    <w:rsid w:val="00D47CDA"/>
    <w:rsid w:val="00D47F90"/>
    <w:rsid w:val="00D526DF"/>
    <w:rsid w:val="00D52864"/>
    <w:rsid w:val="00D52AF6"/>
    <w:rsid w:val="00D53928"/>
    <w:rsid w:val="00D559FB"/>
    <w:rsid w:val="00D579F1"/>
    <w:rsid w:val="00D6011E"/>
    <w:rsid w:val="00D61710"/>
    <w:rsid w:val="00D61946"/>
    <w:rsid w:val="00D630FB"/>
    <w:rsid w:val="00D63C4A"/>
    <w:rsid w:val="00D63DD8"/>
    <w:rsid w:val="00D66AF1"/>
    <w:rsid w:val="00D676AD"/>
    <w:rsid w:val="00D71D9E"/>
    <w:rsid w:val="00D72AA7"/>
    <w:rsid w:val="00D73238"/>
    <w:rsid w:val="00D7398F"/>
    <w:rsid w:val="00D74B85"/>
    <w:rsid w:val="00D7539A"/>
    <w:rsid w:val="00D765EB"/>
    <w:rsid w:val="00D77066"/>
    <w:rsid w:val="00D80232"/>
    <w:rsid w:val="00D803E1"/>
    <w:rsid w:val="00D819CB"/>
    <w:rsid w:val="00D81AF3"/>
    <w:rsid w:val="00D825C0"/>
    <w:rsid w:val="00D8430A"/>
    <w:rsid w:val="00D84D0A"/>
    <w:rsid w:val="00D865B6"/>
    <w:rsid w:val="00D86D83"/>
    <w:rsid w:val="00D8710E"/>
    <w:rsid w:val="00D87C0F"/>
    <w:rsid w:val="00D908F9"/>
    <w:rsid w:val="00D91D0F"/>
    <w:rsid w:val="00D92FB2"/>
    <w:rsid w:val="00D934F3"/>
    <w:rsid w:val="00D9384A"/>
    <w:rsid w:val="00D95229"/>
    <w:rsid w:val="00D963C3"/>
    <w:rsid w:val="00D976AE"/>
    <w:rsid w:val="00D97EE8"/>
    <w:rsid w:val="00DA0A0D"/>
    <w:rsid w:val="00DA0A6F"/>
    <w:rsid w:val="00DA328A"/>
    <w:rsid w:val="00DA37D1"/>
    <w:rsid w:val="00DA42BC"/>
    <w:rsid w:val="00DA456C"/>
    <w:rsid w:val="00DA5ADE"/>
    <w:rsid w:val="00DA6310"/>
    <w:rsid w:val="00DB144C"/>
    <w:rsid w:val="00DB309A"/>
    <w:rsid w:val="00DB3376"/>
    <w:rsid w:val="00DB4FA5"/>
    <w:rsid w:val="00DB56AE"/>
    <w:rsid w:val="00DB57E1"/>
    <w:rsid w:val="00DB5E44"/>
    <w:rsid w:val="00DB62BC"/>
    <w:rsid w:val="00DB68D5"/>
    <w:rsid w:val="00DB7010"/>
    <w:rsid w:val="00DC1D86"/>
    <w:rsid w:val="00DC2C31"/>
    <w:rsid w:val="00DC31B3"/>
    <w:rsid w:val="00DC41C8"/>
    <w:rsid w:val="00DC61E5"/>
    <w:rsid w:val="00DC6B7D"/>
    <w:rsid w:val="00DD5300"/>
    <w:rsid w:val="00DD54F4"/>
    <w:rsid w:val="00DD64E8"/>
    <w:rsid w:val="00DD7015"/>
    <w:rsid w:val="00DD7B14"/>
    <w:rsid w:val="00DE09BF"/>
    <w:rsid w:val="00DE15E0"/>
    <w:rsid w:val="00DE33E5"/>
    <w:rsid w:val="00DE3684"/>
    <w:rsid w:val="00DE5E95"/>
    <w:rsid w:val="00DE670C"/>
    <w:rsid w:val="00DE7A9E"/>
    <w:rsid w:val="00DF05A3"/>
    <w:rsid w:val="00DF1E80"/>
    <w:rsid w:val="00DF2C98"/>
    <w:rsid w:val="00DF2D33"/>
    <w:rsid w:val="00DF6916"/>
    <w:rsid w:val="00DF6AF8"/>
    <w:rsid w:val="00DF7C21"/>
    <w:rsid w:val="00DF7C96"/>
    <w:rsid w:val="00E01A32"/>
    <w:rsid w:val="00E01FC8"/>
    <w:rsid w:val="00E021A9"/>
    <w:rsid w:val="00E04A63"/>
    <w:rsid w:val="00E05369"/>
    <w:rsid w:val="00E06BD5"/>
    <w:rsid w:val="00E071A9"/>
    <w:rsid w:val="00E07675"/>
    <w:rsid w:val="00E1025B"/>
    <w:rsid w:val="00E10542"/>
    <w:rsid w:val="00E12775"/>
    <w:rsid w:val="00E1653F"/>
    <w:rsid w:val="00E203E0"/>
    <w:rsid w:val="00E20704"/>
    <w:rsid w:val="00E20950"/>
    <w:rsid w:val="00E209E2"/>
    <w:rsid w:val="00E24207"/>
    <w:rsid w:val="00E2455B"/>
    <w:rsid w:val="00E247FF"/>
    <w:rsid w:val="00E248B7"/>
    <w:rsid w:val="00E24974"/>
    <w:rsid w:val="00E260D0"/>
    <w:rsid w:val="00E263B3"/>
    <w:rsid w:val="00E26D16"/>
    <w:rsid w:val="00E30AAE"/>
    <w:rsid w:val="00E30B48"/>
    <w:rsid w:val="00E30DB7"/>
    <w:rsid w:val="00E31729"/>
    <w:rsid w:val="00E41998"/>
    <w:rsid w:val="00E41F71"/>
    <w:rsid w:val="00E429A1"/>
    <w:rsid w:val="00E429D1"/>
    <w:rsid w:val="00E44542"/>
    <w:rsid w:val="00E446D1"/>
    <w:rsid w:val="00E46AE9"/>
    <w:rsid w:val="00E46FC7"/>
    <w:rsid w:val="00E47437"/>
    <w:rsid w:val="00E4793F"/>
    <w:rsid w:val="00E50940"/>
    <w:rsid w:val="00E515B0"/>
    <w:rsid w:val="00E51F60"/>
    <w:rsid w:val="00E52360"/>
    <w:rsid w:val="00E54014"/>
    <w:rsid w:val="00E56AE4"/>
    <w:rsid w:val="00E60046"/>
    <w:rsid w:val="00E602BC"/>
    <w:rsid w:val="00E625BC"/>
    <w:rsid w:val="00E62A02"/>
    <w:rsid w:val="00E63E5B"/>
    <w:rsid w:val="00E642DF"/>
    <w:rsid w:val="00E645A8"/>
    <w:rsid w:val="00E657E8"/>
    <w:rsid w:val="00E66A91"/>
    <w:rsid w:val="00E66FB7"/>
    <w:rsid w:val="00E6710B"/>
    <w:rsid w:val="00E67B85"/>
    <w:rsid w:val="00E67E9E"/>
    <w:rsid w:val="00E727FA"/>
    <w:rsid w:val="00E735BD"/>
    <w:rsid w:val="00E74007"/>
    <w:rsid w:val="00E7432F"/>
    <w:rsid w:val="00E75CDD"/>
    <w:rsid w:val="00E762DA"/>
    <w:rsid w:val="00E76549"/>
    <w:rsid w:val="00E76D3B"/>
    <w:rsid w:val="00E770C2"/>
    <w:rsid w:val="00E7798D"/>
    <w:rsid w:val="00E8043E"/>
    <w:rsid w:val="00E827C8"/>
    <w:rsid w:val="00E82AC7"/>
    <w:rsid w:val="00E834EE"/>
    <w:rsid w:val="00E878C9"/>
    <w:rsid w:val="00E91665"/>
    <w:rsid w:val="00E9183E"/>
    <w:rsid w:val="00E92695"/>
    <w:rsid w:val="00E94294"/>
    <w:rsid w:val="00E95531"/>
    <w:rsid w:val="00E9648E"/>
    <w:rsid w:val="00E97952"/>
    <w:rsid w:val="00EA28C1"/>
    <w:rsid w:val="00EA4E5D"/>
    <w:rsid w:val="00EA56B7"/>
    <w:rsid w:val="00EA580A"/>
    <w:rsid w:val="00EA66DC"/>
    <w:rsid w:val="00EA704B"/>
    <w:rsid w:val="00EB1DC1"/>
    <w:rsid w:val="00EB1E85"/>
    <w:rsid w:val="00EB29F2"/>
    <w:rsid w:val="00EB3074"/>
    <w:rsid w:val="00EB409A"/>
    <w:rsid w:val="00EB4286"/>
    <w:rsid w:val="00EB46F9"/>
    <w:rsid w:val="00EB4A6E"/>
    <w:rsid w:val="00EC162F"/>
    <w:rsid w:val="00EC298F"/>
    <w:rsid w:val="00EC2C5B"/>
    <w:rsid w:val="00EC3A4B"/>
    <w:rsid w:val="00EC46A2"/>
    <w:rsid w:val="00EC70D2"/>
    <w:rsid w:val="00EC7E52"/>
    <w:rsid w:val="00ED0296"/>
    <w:rsid w:val="00ED0900"/>
    <w:rsid w:val="00ED17F7"/>
    <w:rsid w:val="00ED1920"/>
    <w:rsid w:val="00ED2872"/>
    <w:rsid w:val="00ED2D64"/>
    <w:rsid w:val="00ED5569"/>
    <w:rsid w:val="00ED7327"/>
    <w:rsid w:val="00EE06E4"/>
    <w:rsid w:val="00EE139C"/>
    <w:rsid w:val="00EE17D5"/>
    <w:rsid w:val="00EE17D9"/>
    <w:rsid w:val="00EE187F"/>
    <w:rsid w:val="00EE4418"/>
    <w:rsid w:val="00EE546B"/>
    <w:rsid w:val="00EE6F46"/>
    <w:rsid w:val="00EE6FCA"/>
    <w:rsid w:val="00EE7C2F"/>
    <w:rsid w:val="00EF1423"/>
    <w:rsid w:val="00EF1956"/>
    <w:rsid w:val="00EF278B"/>
    <w:rsid w:val="00EF3903"/>
    <w:rsid w:val="00EF5597"/>
    <w:rsid w:val="00EF621B"/>
    <w:rsid w:val="00EF6D68"/>
    <w:rsid w:val="00F007E2"/>
    <w:rsid w:val="00F01066"/>
    <w:rsid w:val="00F0269A"/>
    <w:rsid w:val="00F052C9"/>
    <w:rsid w:val="00F056CE"/>
    <w:rsid w:val="00F06B6A"/>
    <w:rsid w:val="00F06D55"/>
    <w:rsid w:val="00F11787"/>
    <w:rsid w:val="00F13F15"/>
    <w:rsid w:val="00F14399"/>
    <w:rsid w:val="00F1535F"/>
    <w:rsid w:val="00F15686"/>
    <w:rsid w:val="00F158F4"/>
    <w:rsid w:val="00F201AF"/>
    <w:rsid w:val="00F21684"/>
    <w:rsid w:val="00F220DC"/>
    <w:rsid w:val="00F22E5C"/>
    <w:rsid w:val="00F23319"/>
    <w:rsid w:val="00F243DA"/>
    <w:rsid w:val="00F24516"/>
    <w:rsid w:val="00F2459B"/>
    <w:rsid w:val="00F25F4B"/>
    <w:rsid w:val="00F27AFA"/>
    <w:rsid w:val="00F27BE6"/>
    <w:rsid w:val="00F31895"/>
    <w:rsid w:val="00F322DB"/>
    <w:rsid w:val="00F332D2"/>
    <w:rsid w:val="00F33CC8"/>
    <w:rsid w:val="00F342B2"/>
    <w:rsid w:val="00F36E2E"/>
    <w:rsid w:val="00F40F68"/>
    <w:rsid w:val="00F4350F"/>
    <w:rsid w:val="00F44104"/>
    <w:rsid w:val="00F44771"/>
    <w:rsid w:val="00F453A8"/>
    <w:rsid w:val="00F45F90"/>
    <w:rsid w:val="00F502A9"/>
    <w:rsid w:val="00F510B8"/>
    <w:rsid w:val="00F514ED"/>
    <w:rsid w:val="00F5266B"/>
    <w:rsid w:val="00F529F5"/>
    <w:rsid w:val="00F53F24"/>
    <w:rsid w:val="00F53FC6"/>
    <w:rsid w:val="00F542DF"/>
    <w:rsid w:val="00F5660B"/>
    <w:rsid w:val="00F57E2D"/>
    <w:rsid w:val="00F622C4"/>
    <w:rsid w:val="00F62385"/>
    <w:rsid w:val="00F62BB6"/>
    <w:rsid w:val="00F6445D"/>
    <w:rsid w:val="00F66466"/>
    <w:rsid w:val="00F709D0"/>
    <w:rsid w:val="00F715E1"/>
    <w:rsid w:val="00F7563C"/>
    <w:rsid w:val="00F75ABD"/>
    <w:rsid w:val="00F75B8B"/>
    <w:rsid w:val="00F75FA3"/>
    <w:rsid w:val="00F7657C"/>
    <w:rsid w:val="00F76742"/>
    <w:rsid w:val="00F7713B"/>
    <w:rsid w:val="00F7749C"/>
    <w:rsid w:val="00F77B6D"/>
    <w:rsid w:val="00F81AA0"/>
    <w:rsid w:val="00F81BAB"/>
    <w:rsid w:val="00F81FEE"/>
    <w:rsid w:val="00F8417E"/>
    <w:rsid w:val="00F870FA"/>
    <w:rsid w:val="00F87B25"/>
    <w:rsid w:val="00F90917"/>
    <w:rsid w:val="00F90B77"/>
    <w:rsid w:val="00F91EDC"/>
    <w:rsid w:val="00F93544"/>
    <w:rsid w:val="00F93D16"/>
    <w:rsid w:val="00F954F7"/>
    <w:rsid w:val="00F95C29"/>
    <w:rsid w:val="00FA0ADB"/>
    <w:rsid w:val="00FA32C3"/>
    <w:rsid w:val="00FA44F3"/>
    <w:rsid w:val="00FA4545"/>
    <w:rsid w:val="00FA47A4"/>
    <w:rsid w:val="00FA4990"/>
    <w:rsid w:val="00FA6218"/>
    <w:rsid w:val="00FA64E9"/>
    <w:rsid w:val="00FA70B5"/>
    <w:rsid w:val="00FA7307"/>
    <w:rsid w:val="00FA7ECB"/>
    <w:rsid w:val="00FB1A8A"/>
    <w:rsid w:val="00FB1B43"/>
    <w:rsid w:val="00FB2004"/>
    <w:rsid w:val="00FB225F"/>
    <w:rsid w:val="00FB2FCD"/>
    <w:rsid w:val="00FB468D"/>
    <w:rsid w:val="00FB51B9"/>
    <w:rsid w:val="00FB6280"/>
    <w:rsid w:val="00FB6384"/>
    <w:rsid w:val="00FB6745"/>
    <w:rsid w:val="00FC2B8D"/>
    <w:rsid w:val="00FC2E2C"/>
    <w:rsid w:val="00FC5077"/>
    <w:rsid w:val="00FC678A"/>
    <w:rsid w:val="00FD0804"/>
    <w:rsid w:val="00FD1FCE"/>
    <w:rsid w:val="00FD2FF2"/>
    <w:rsid w:val="00FD454B"/>
    <w:rsid w:val="00FD4E4A"/>
    <w:rsid w:val="00FD52BA"/>
    <w:rsid w:val="00FD5607"/>
    <w:rsid w:val="00FE0AF6"/>
    <w:rsid w:val="00FE0EFC"/>
    <w:rsid w:val="00FE5F39"/>
    <w:rsid w:val="00FF04B2"/>
    <w:rsid w:val="00FF096A"/>
    <w:rsid w:val="00FF1164"/>
    <w:rsid w:val="00FF1781"/>
    <w:rsid w:val="00FF2C89"/>
    <w:rsid w:val="00FF5A5A"/>
    <w:rsid w:val="00FF5FE5"/>
    <w:rsid w:val="00FF73D3"/>
    <w:rsid w:val="00FF78D8"/>
    <w:rsid w:val="00FF7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BE"/>
    <w:pPr>
      <w:jc w:val="both"/>
    </w:pPr>
  </w:style>
  <w:style w:type="paragraph" w:styleId="Titre1">
    <w:name w:val="heading 1"/>
    <w:basedOn w:val="Normal"/>
    <w:next w:val="Normal"/>
    <w:link w:val="Titre1Car"/>
    <w:autoRedefine/>
    <w:qFormat/>
    <w:rsid w:val="00DA42BC"/>
    <w:pPr>
      <w:keepNext/>
      <w:numPr>
        <w:numId w:val="29"/>
      </w:numPr>
      <w:spacing w:before="360" w:after="240"/>
      <w:outlineLvl w:val="0"/>
    </w:pPr>
    <w:rPr>
      <w:rFonts w:eastAsiaTheme="majorEastAsia" w:cs="Tahoma"/>
      <w:b/>
      <w:bCs/>
      <w:noProof/>
      <w:kern w:val="32"/>
      <w:sz w:val="24"/>
      <w:szCs w:val="24"/>
    </w:rPr>
  </w:style>
  <w:style w:type="paragraph" w:styleId="Titre2">
    <w:name w:val="heading 2"/>
    <w:basedOn w:val="Normal"/>
    <w:link w:val="Titre2Car"/>
    <w:autoRedefine/>
    <w:qFormat/>
    <w:rsid w:val="004B6EB6"/>
    <w:pPr>
      <w:numPr>
        <w:ilvl w:val="1"/>
        <w:numId w:val="29"/>
      </w:numPr>
      <w:spacing w:before="240" w:after="120"/>
      <w:outlineLvl w:val="1"/>
    </w:pPr>
    <w:rPr>
      <w:rFonts w:eastAsiaTheme="majorEastAsia" w:cs="Tahoma"/>
      <w:b/>
      <w:bCs/>
    </w:rPr>
  </w:style>
  <w:style w:type="paragraph" w:styleId="Titre3">
    <w:name w:val="heading 3"/>
    <w:basedOn w:val="Normal"/>
    <w:next w:val="Normal"/>
    <w:link w:val="Titre3Car"/>
    <w:autoRedefine/>
    <w:qFormat/>
    <w:rsid w:val="004B6EB6"/>
    <w:pPr>
      <w:keepNext/>
      <w:numPr>
        <w:ilvl w:val="2"/>
        <w:numId w:val="29"/>
      </w:numPr>
      <w:spacing w:after="60"/>
      <w:outlineLvl w:val="2"/>
    </w:pPr>
    <w:rPr>
      <w:rFonts w:eastAsiaTheme="majorEastAsia" w:cs="Arial"/>
      <w:b/>
      <w:bCs/>
      <w:szCs w:val="26"/>
    </w:rPr>
  </w:style>
  <w:style w:type="paragraph" w:styleId="Titre4">
    <w:name w:val="heading 4"/>
    <w:basedOn w:val="Normal"/>
    <w:next w:val="Normal"/>
    <w:link w:val="Titre4Car"/>
    <w:unhideWhenUsed/>
    <w:qFormat/>
    <w:locked/>
    <w:rsid w:val="004B6EB6"/>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locked/>
    <w:rsid w:val="004B6EB6"/>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locked/>
    <w:rsid w:val="004B6EB6"/>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locked/>
    <w:rsid w:val="004B6EB6"/>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locked/>
    <w:rsid w:val="004B6EB6"/>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locked/>
    <w:rsid w:val="004B6EB6"/>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A42BC"/>
    <w:rPr>
      <w:rFonts w:eastAsiaTheme="majorEastAsia" w:cs="Tahoma"/>
      <w:b/>
      <w:bCs/>
      <w:noProof/>
      <w:kern w:val="32"/>
      <w:sz w:val="24"/>
      <w:szCs w:val="24"/>
    </w:rPr>
  </w:style>
  <w:style w:type="character" w:customStyle="1" w:styleId="Titre2Car">
    <w:name w:val="Titre 2 Car"/>
    <w:basedOn w:val="Policepardfaut"/>
    <w:link w:val="Titre2"/>
    <w:locked/>
    <w:rsid w:val="004B6EB6"/>
    <w:rPr>
      <w:rFonts w:eastAsiaTheme="majorEastAsia" w:cs="Tahoma"/>
      <w:b/>
      <w:bCs/>
    </w:rPr>
  </w:style>
  <w:style w:type="character" w:customStyle="1" w:styleId="Titre3Car">
    <w:name w:val="Titre 3 Car"/>
    <w:basedOn w:val="Policepardfaut"/>
    <w:link w:val="Titre3"/>
    <w:locked/>
    <w:rsid w:val="004B6EB6"/>
    <w:rPr>
      <w:rFonts w:eastAsiaTheme="majorEastAsia" w:cs="Arial"/>
      <w:b/>
      <w:bCs/>
      <w:szCs w:val="26"/>
    </w:rPr>
  </w:style>
  <w:style w:type="character" w:styleId="Lienhypertexte">
    <w:name w:val="Hyperlink"/>
    <w:basedOn w:val="Policepardfaut"/>
    <w:uiPriority w:val="99"/>
    <w:rsid w:val="00B23BF5"/>
    <w:rPr>
      <w:rFonts w:ascii="Verdana" w:hAnsi="Verdana" w:cs="Times New Roman"/>
      <w:color w:val="CC3300"/>
      <w:sz w:val="24"/>
      <w:szCs w:val="24"/>
      <w:u w:val="none"/>
      <w:effect w:val="none"/>
    </w:rPr>
  </w:style>
  <w:style w:type="paragraph" w:styleId="NormalWeb">
    <w:name w:val="Normal (Web)"/>
    <w:basedOn w:val="Normal"/>
    <w:uiPriority w:val="99"/>
    <w:rsid w:val="00B23BF5"/>
    <w:pPr>
      <w:spacing w:before="100" w:beforeAutospacing="1" w:after="100" w:afterAutospacing="1"/>
    </w:pPr>
    <w:rPr>
      <w:rFonts w:ascii="Verdana" w:hAnsi="Verdana"/>
      <w:color w:val="000000"/>
    </w:rPr>
  </w:style>
  <w:style w:type="paragraph" w:customStyle="1" w:styleId="clearimagefloat">
    <w:name w:val="clearimagefloat"/>
    <w:basedOn w:val="Normal"/>
    <w:uiPriority w:val="99"/>
    <w:rsid w:val="00B23BF5"/>
    <w:rPr>
      <w:rFonts w:ascii="Verdana" w:hAnsi="Verdana"/>
      <w:color w:val="000000"/>
      <w:sz w:val="2"/>
      <w:szCs w:val="2"/>
    </w:rPr>
  </w:style>
  <w:style w:type="paragraph" w:styleId="Pieddepage">
    <w:name w:val="footer"/>
    <w:basedOn w:val="Normal"/>
    <w:link w:val="PieddepageCar"/>
    <w:uiPriority w:val="99"/>
    <w:rsid w:val="00B23BF5"/>
    <w:pPr>
      <w:tabs>
        <w:tab w:val="center" w:pos="4536"/>
        <w:tab w:val="right" w:pos="9072"/>
      </w:tabs>
    </w:pPr>
  </w:style>
  <w:style w:type="character" w:customStyle="1" w:styleId="PieddepageCar">
    <w:name w:val="Pied de page Car"/>
    <w:basedOn w:val="Policepardfaut"/>
    <w:link w:val="Pieddepage"/>
    <w:uiPriority w:val="99"/>
    <w:semiHidden/>
    <w:rsid w:val="00C86112"/>
    <w:rPr>
      <w:sz w:val="24"/>
      <w:szCs w:val="24"/>
    </w:rPr>
  </w:style>
  <w:style w:type="character" w:styleId="Numrodepage">
    <w:name w:val="page number"/>
    <w:basedOn w:val="Policepardfaut"/>
    <w:uiPriority w:val="99"/>
    <w:rsid w:val="00B23BF5"/>
    <w:rPr>
      <w:rFonts w:cs="Times New Roman"/>
    </w:rPr>
  </w:style>
  <w:style w:type="paragraph" w:styleId="En-tte">
    <w:name w:val="header"/>
    <w:basedOn w:val="Normal"/>
    <w:link w:val="En-tteCar"/>
    <w:uiPriority w:val="99"/>
    <w:rsid w:val="00B23BF5"/>
    <w:pPr>
      <w:tabs>
        <w:tab w:val="center" w:pos="4536"/>
        <w:tab w:val="right" w:pos="9072"/>
      </w:tabs>
    </w:pPr>
  </w:style>
  <w:style w:type="character" w:customStyle="1" w:styleId="En-tteCar">
    <w:name w:val="En-tête Car"/>
    <w:basedOn w:val="Policepardfaut"/>
    <w:link w:val="En-tte"/>
    <w:uiPriority w:val="99"/>
    <w:semiHidden/>
    <w:rsid w:val="00C86112"/>
    <w:rPr>
      <w:sz w:val="24"/>
      <w:szCs w:val="24"/>
    </w:rPr>
  </w:style>
  <w:style w:type="paragraph" w:styleId="Corpsdetexte">
    <w:name w:val="Body Text"/>
    <w:basedOn w:val="Normal"/>
    <w:link w:val="CorpsdetexteCar"/>
    <w:uiPriority w:val="99"/>
    <w:rsid w:val="00B23BF5"/>
    <w:rPr>
      <w:rFonts w:ascii="Guatemala" w:hAnsi="Guatemala"/>
      <w:szCs w:val="20"/>
    </w:rPr>
  </w:style>
  <w:style w:type="character" w:customStyle="1" w:styleId="CorpsdetexteCar">
    <w:name w:val="Corps de texte Car"/>
    <w:basedOn w:val="Policepardfaut"/>
    <w:link w:val="Corpsdetexte"/>
    <w:uiPriority w:val="99"/>
    <w:semiHidden/>
    <w:rsid w:val="00C86112"/>
    <w:rPr>
      <w:sz w:val="24"/>
      <w:szCs w:val="24"/>
    </w:rPr>
  </w:style>
  <w:style w:type="table" w:styleId="Grilledutableau">
    <w:name w:val="Table Grid"/>
    <w:basedOn w:val="TableauNormal"/>
    <w:uiPriority w:val="99"/>
    <w:rsid w:val="00B2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0">
    <w:name w:val="Titre 0"/>
    <w:basedOn w:val="Titre1"/>
    <w:uiPriority w:val="99"/>
    <w:rsid w:val="00B23BF5"/>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spacing w:before="0" w:after="0"/>
      <w:ind w:left="0" w:right="-25"/>
      <w:jc w:val="center"/>
    </w:pPr>
    <w:rPr>
      <w:sz w:val="28"/>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B23BF5"/>
    <w:pPr>
      <w:numPr>
        <w:numId w:val="1"/>
      </w:numPr>
      <w:tabs>
        <w:tab w:val="num" w:pos="360"/>
      </w:tabs>
      <w:ind w:left="0" w:firstLine="0"/>
    </w:pPr>
    <w:rPr>
      <w:i/>
      <w:iCs/>
    </w:rPr>
  </w:style>
  <w:style w:type="character" w:customStyle="1" w:styleId="StyleTitre2Tahoma11ptItaliqueCarCar">
    <w:name w:val="Style Titre 2 + Tahoma 11 pt Italique Car Car"/>
    <w:basedOn w:val="Titre2Car"/>
    <w:link w:val="StyleTitre2Tahoma11ptItalique"/>
    <w:uiPriority w:val="99"/>
    <w:locked/>
    <w:rsid w:val="00B23BF5"/>
    <w:rPr>
      <w:rFonts w:ascii="Calibri" w:eastAsiaTheme="majorEastAsia" w:hAnsi="Calibri" w:cs="Tahoma"/>
      <w:b/>
      <w:bCs/>
      <w:i/>
      <w:iCs/>
      <w:sz w:val="22"/>
      <w:szCs w:val="22"/>
    </w:rPr>
  </w:style>
  <w:style w:type="paragraph" w:styleId="TM1">
    <w:name w:val="toc 1"/>
    <w:basedOn w:val="Normal"/>
    <w:next w:val="Normal"/>
    <w:autoRedefine/>
    <w:uiPriority w:val="39"/>
    <w:rsid w:val="005B2D4D"/>
    <w:pPr>
      <w:tabs>
        <w:tab w:val="left" w:pos="851"/>
        <w:tab w:val="right" w:leader="underscore" w:pos="8789"/>
      </w:tabs>
      <w:spacing w:line="360" w:lineRule="auto"/>
      <w:ind w:left="284" w:right="539"/>
      <w:contextualSpacing/>
    </w:pPr>
    <w:rPr>
      <w:rFonts w:cs="Tahoma"/>
      <w:bCs/>
      <w:noProof/>
      <w:sz w:val="24"/>
    </w:rPr>
  </w:style>
  <w:style w:type="paragraph" w:customStyle="1" w:styleId="StyleTitre0BordurePasdebordureHautPasdebordure">
    <w:name w:val="Style Titre 0 + Bordure : : (Pas de bordure) Haut: (Pas de bordure..."/>
    <w:basedOn w:val="Titre0"/>
    <w:uiPriority w:val="99"/>
    <w:rsid w:val="00B23BF5"/>
    <w:rPr>
      <w:rFonts w:cs="Times New Roman"/>
      <w:szCs w:val="20"/>
      <w:bdr w:val="none" w:sz="0" w:space="0" w:color="auto"/>
    </w:rPr>
  </w:style>
  <w:style w:type="paragraph" w:customStyle="1" w:styleId="Soustitrenormal">
    <w:name w:val="Sous titre normal"/>
    <w:basedOn w:val="Normal"/>
    <w:uiPriority w:val="99"/>
    <w:rsid w:val="00B23BF5"/>
    <w:pPr>
      <w:numPr>
        <w:numId w:val="2"/>
      </w:numPr>
    </w:pPr>
    <w:rPr>
      <w:b/>
      <w:bCs/>
      <w:i/>
      <w:iCs/>
      <w:szCs w:val="20"/>
    </w:rPr>
  </w:style>
  <w:style w:type="paragraph" w:styleId="Retraitcorpsdetexte2">
    <w:name w:val="Body Text Indent 2"/>
    <w:basedOn w:val="Normal"/>
    <w:link w:val="Retraitcorpsdetexte2Car"/>
    <w:uiPriority w:val="99"/>
    <w:rsid w:val="00B23BF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86112"/>
    <w:rPr>
      <w:sz w:val="24"/>
      <w:szCs w:val="24"/>
    </w:rPr>
  </w:style>
  <w:style w:type="paragraph" w:styleId="Normalcentr">
    <w:name w:val="Block Text"/>
    <w:basedOn w:val="Normal"/>
    <w:uiPriority w:val="99"/>
    <w:rsid w:val="00B23BF5"/>
    <w:pPr>
      <w:autoSpaceDE w:val="0"/>
      <w:autoSpaceDN w:val="0"/>
      <w:spacing w:before="100" w:after="100"/>
      <w:ind w:left="851" w:right="567"/>
      <w:jc w:val="center"/>
    </w:pPr>
    <w:rPr>
      <w:rFonts w:ascii="Arial" w:hAnsi="Arial" w:cs="Arial"/>
      <w:sz w:val="20"/>
      <w:szCs w:val="20"/>
    </w:rPr>
  </w:style>
  <w:style w:type="paragraph" w:styleId="Notedebasdepage">
    <w:name w:val="footnote text"/>
    <w:basedOn w:val="Normal"/>
    <w:link w:val="NotedebasdepageCar"/>
    <w:uiPriority w:val="99"/>
    <w:semiHidden/>
    <w:rsid w:val="0047340C"/>
    <w:rPr>
      <w:sz w:val="20"/>
      <w:szCs w:val="20"/>
    </w:rPr>
  </w:style>
  <w:style w:type="character" w:customStyle="1" w:styleId="NotedebasdepageCar">
    <w:name w:val="Note de bas de page Car"/>
    <w:basedOn w:val="Policepardfaut"/>
    <w:link w:val="Notedebasdepage"/>
    <w:uiPriority w:val="99"/>
    <w:semiHidden/>
    <w:rsid w:val="00C86112"/>
    <w:rPr>
      <w:sz w:val="20"/>
      <w:szCs w:val="20"/>
    </w:rPr>
  </w:style>
  <w:style w:type="character" w:styleId="Appelnotedebasdep">
    <w:name w:val="footnote reference"/>
    <w:basedOn w:val="Policepardfaut"/>
    <w:uiPriority w:val="99"/>
    <w:semiHidden/>
    <w:rsid w:val="0047340C"/>
    <w:rPr>
      <w:rFonts w:cs="Times New Roman"/>
      <w:vertAlign w:val="superscript"/>
    </w:rPr>
  </w:style>
  <w:style w:type="paragraph" w:styleId="Textedebulles">
    <w:name w:val="Balloon Text"/>
    <w:basedOn w:val="Normal"/>
    <w:link w:val="TextedebullesCar"/>
    <w:uiPriority w:val="99"/>
    <w:semiHidden/>
    <w:rsid w:val="0030329E"/>
    <w:rPr>
      <w:rFonts w:cs="Tahoma"/>
      <w:sz w:val="16"/>
      <w:szCs w:val="16"/>
    </w:rPr>
  </w:style>
  <w:style w:type="character" w:customStyle="1" w:styleId="TextedebullesCar">
    <w:name w:val="Texte de bulles Car"/>
    <w:basedOn w:val="Policepardfaut"/>
    <w:link w:val="Textedebulles"/>
    <w:uiPriority w:val="99"/>
    <w:semiHidden/>
    <w:rsid w:val="00C86112"/>
    <w:rPr>
      <w:sz w:val="0"/>
      <w:szCs w:val="0"/>
    </w:rPr>
  </w:style>
  <w:style w:type="paragraph" w:styleId="Notedefin">
    <w:name w:val="endnote text"/>
    <w:basedOn w:val="Normal"/>
    <w:link w:val="NotedefinCar"/>
    <w:uiPriority w:val="99"/>
    <w:semiHidden/>
    <w:rsid w:val="00CB59FF"/>
    <w:rPr>
      <w:sz w:val="20"/>
      <w:szCs w:val="20"/>
    </w:rPr>
  </w:style>
  <w:style w:type="character" w:customStyle="1" w:styleId="NotedefinCar">
    <w:name w:val="Note de fin Car"/>
    <w:basedOn w:val="Policepardfaut"/>
    <w:link w:val="Notedefin"/>
    <w:uiPriority w:val="99"/>
    <w:semiHidden/>
    <w:rsid w:val="00C86112"/>
    <w:rPr>
      <w:sz w:val="20"/>
      <w:szCs w:val="20"/>
    </w:rPr>
  </w:style>
  <w:style w:type="character" w:styleId="Appeldenotedefin">
    <w:name w:val="endnote reference"/>
    <w:basedOn w:val="Policepardfaut"/>
    <w:uiPriority w:val="99"/>
    <w:semiHidden/>
    <w:rsid w:val="00CB59FF"/>
    <w:rPr>
      <w:rFonts w:cs="Times New Roman"/>
      <w:vertAlign w:val="superscript"/>
    </w:rPr>
  </w:style>
  <w:style w:type="character" w:customStyle="1" w:styleId="StyleTahoma11pt">
    <w:name w:val="Style Tahoma 11 pt"/>
    <w:basedOn w:val="Policepardfaut"/>
    <w:uiPriority w:val="99"/>
    <w:rsid w:val="005F430D"/>
    <w:rPr>
      <w:rFonts w:ascii="Tahoma" w:hAnsi="Tahoma" w:cs="Times New Roman"/>
      <w:sz w:val="22"/>
    </w:rPr>
  </w:style>
  <w:style w:type="character" w:styleId="Lienhypertextesuivivisit">
    <w:name w:val="FollowedHyperlink"/>
    <w:basedOn w:val="Policepardfaut"/>
    <w:uiPriority w:val="99"/>
    <w:rsid w:val="008B353E"/>
    <w:rPr>
      <w:rFonts w:cs="Times New Roman"/>
      <w:color w:val="800080"/>
      <w:u w:val="single"/>
    </w:rPr>
  </w:style>
  <w:style w:type="character" w:styleId="Marquedecommentaire">
    <w:name w:val="annotation reference"/>
    <w:basedOn w:val="Policepardfaut"/>
    <w:uiPriority w:val="99"/>
    <w:semiHidden/>
    <w:rsid w:val="006F38AB"/>
    <w:rPr>
      <w:rFonts w:cs="Times New Roman"/>
      <w:sz w:val="16"/>
      <w:szCs w:val="16"/>
    </w:rPr>
  </w:style>
  <w:style w:type="paragraph" w:styleId="Commentaire">
    <w:name w:val="annotation text"/>
    <w:basedOn w:val="Normal"/>
    <w:link w:val="CommentaireCar"/>
    <w:uiPriority w:val="99"/>
    <w:semiHidden/>
    <w:rsid w:val="006F38AB"/>
    <w:rPr>
      <w:sz w:val="20"/>
      <w:szCs w:val="20"/>
    </w:rPr>
  </w:style>
  <w:style w:type="character" w:customStyle="1" w:styleId="CommentaireCar">
    <w:name w:val="Commentaire Car"/>
    <w:basedOn w:val="Policepardfaut"/>
    <w:link w:val="Commentaire"/>
    <w:uiPriority w:val="99"/>
    <w:semiHidden/>
    <w:rsid w:val="00C86112"/>
    <w:rPr>
      <w:sz w:val="20"/>
      <w:szCs w:val="20"/>
    </w:rPr>
  </w:style>
  <w:style w:type="paragraph" w:styleId="Objetducommentaire">
    <w:name w:val="annotation subject"/>
    <w:basedOn w:val="Commentaire"/>
    <w:next w:val="Commentaire"/>
    <w:link w:val="ObjetducommentaireCar"/>
    <w:uiPriority w:val="99"/>
    <w:semiHidden/>
    <w:rsid w:val="006F38AB"/>
    <w:rPr>
      <w:b/>
      <w:bCs/>
    </w:rPr>
  </w:style>
  <w:style w:type="character" w:customStyle="1" w:styleId="ObjetducommentaireCar">
    <w:name w:val="Objet du commentaire Car"/>
    <w:basedOn w:val="CommentaireCar"/>
    <w:link w:val="Objetducommentaire"/>
    <w:uiPriority w:val="99"/>
    <w:semiHidden/>
    <w:rsid w:val="00C86112"/>
    <w:rPr>
      <w:b/>
      <w:bCs/>
      <w:sz w:val="20"/>
      <w:szCs w:val="20"/>
    </w:rPr>
  </w:style>
  <w:style w:type="paragraph" w:customStyle="1" w:styleId="Default">
    <w:name w:val="Default"/>
    <w:uiPriority w:val="99"/>
    <w:qFormat/>
    <w:rsid w:val="004B6EB6"/>
    <w:pPr>
      <w:autoSpaceDE w:val="0"/>
      <w:autoSpaceDN w:val="0"/>
      <w:adjustRightInd w:val="0"/>
    </w:pPr>
    <w:rPr>
      <w:rFonts w:ascii="Tahoma" w:hAnsi="Tahoma" w:cs="Tahoma"/>
      <w:color w:val="000000"/>
      <w:sz w:val="24"/>
    </w:rPr>
  </w:style>
  <w:style w:type="paragraph" w:customStyle="1" w:styleId="StyleStyleTitre0BordurePasdebordureHautPasdebo">
    <w:name w:val="Style Style Titre 0 + Bordure : : (Pas de bordure) Haut: (Pas de bo..."/>
    <w:basedOn w:val="StyleTitre0BordurePasdebordureHautPasdebordure"/>
    <w:uiPriority w:val="99"/>
    <w:rsid w:val="00597B3C"/>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597B3C"/>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styleId="TM2">
    <w:name w:val="toc 2"/>
    <w:basedOn w:val="Normal"/>
    <w:next w:val="Normal"/>
    <w:autoRedefine/>
    <w:uiPriority w:val="39"/>
    <w:rsid w:val="004B6EB6"/>
    <w:pPr>
      <w:tabs>
        <w:tab w:val="left" w:pos="720"/>
        <w:tab w:val="left" w:pos="1440"/>
        <w:tab w:val="right" w:leader="dot" w:pos="8789"/>
      </w:tabs>
      <w:ind w:left="851"/>
    </w:pPr>
    <w:rPr>
      <w:b/>
      <w:bCs/>
      <w:sz w:val="20"/>
      <w:szCs w:val="20"/>
    </w:rPr>
  </w:style>
  <w:style w:type="paragraph" w:styleId="TM3">
    <w:name w:val="toc 3"/>
    <w:basedOn w:val="Normal"/>
    <w:next w:val="Normal"/>
    <w:autoRedefine/>
    <w:uiPriority w:val="39"/>
    <w:rsid w:val="000B305D"/>
    <w:pPr>
      <w:ind w:left="240"/>
    </w:pPr>
    <w:rPr>
      <w:sz w:val="20"/>
      <w:szCs w:val="20"/>
    </w:rPr>
  </w:style>
  <w:style w:type="paragraph" w:styleId="TM4">
    <w:name w:val="toc 4"/>
    <w:basedOn w:val="Normal"/>
    <w:next w:val="Normal"/>
    <w:autoRedefine/>
    <w:uiPriority w:val="99"/>
    <w:semiHidden/>
    <w:rsid w:val="000B305D"/>
    <w:pPr>
      <w:ind w:left="480"/>
    </w:pPr>
    <w:rPr>
      <w:sz w:val="20"/>
      <w:szCs w:val="20"/>
    </w:rPr>
  </w:style>
  <w:style w:type="paragraph" w:styleId="TM5">
    <w:name w:val="toc 5"/>
    <w:basedOn w:val="Normal"/>
    <w:next w:val="Normal"/>
    <w:autoRedefine/>
    <w:uiPriority w:val="99"/>
    <w:semiHidden/>
    <w:rsid w:val="000B305D"/>
    <w:pPr>
      <w:ind w:left="720"/>
    </w:pPr>
    <w:rPr>
      <w:sz w:val="20"/>
      <w:szCs w:val="20"/>
    </w:rPr>
  </w:style>
  <w:style w:type="paragraph" w:styleId="TM6">
    <w:name w:val="toc 6"/>
    <w:basedOn w:val="Normal"/>
    <w:next w:val="Normal"/>
    <w:autoRedefine/>
    <w:uiPriority w:val="99"/>
    <w:semiHidden/>
    <w:rsid w:val="000B305D"/>
    <w:pPr>
      <w:ind w:left="960"/>
    </w:pPr>
    <w:rPr>
      <w:sz w:val="20"/>
      <w:szCs w:val="20"/>
    </w:rPr>
  </w:style>
  <w:style w:type="paragraph" w:styleId="TM7">
    <w:name w:val="toc 7"/>
    <w:basedOn w:val="Normal"/>
    <w:next w:val="Normal"/>
    <w:autoRedefine/>
    <w:uiPriority w:val="99"/>
    <w:semiHidden/>
    <w:rsid w:val="000B305D"/>
    <w:pPr>
      <w:ind w:left="1200"/>
    </w:pPr>
    <w:rPr>
      <w:sz w:val="20"/>
      <w:szCs w:val="20"/>
    </w:rPr>
  </w:style>
  <w:style w:type="paragraph" w:styleId="TM8">
    <w:name w:val="toc 8"/>
    <w:basedOn w:val="Normal"/>
    <w:next w:val="Normal"/>
    <w:autoRedefine/>
    <w:uiPriority w:val="99"/>
    <w:semiHidden/>
    <w:rsid w:val="000B305D"/>
    <w:pPr>
      <w:ind w:left="1440"/>
    </w:pPr>
    <w:rPr>
      <w:sz w:val="20"/>
      <w:szCs w:val="20"/>
    </w:rPr>
  </w:style>
  <w:style w:type="paragraph" w:styleId="TM9">
    <w:name w:val="toc 9"/>
    <w:basedOn w:val="Normal"/>
    <w:next w:val="Normal"/>
    <w:autoRedefine/>
    <w:uiPriority w:val="99"/>
    <w:semiHidden/>
    <w:rsid w:val="000B305D"/>
    <w:pPr>
      <w:ind w:left="1680"/>
    </w:pPr>
    <w:rPr>
      <w:sz w:val="20"/>
      <w:szCs w:val="20"/>
    </w:rPr>
  </w:style>
  <w:style w:type="paragraph" w:customStyle="1" w:styleId="default0">
    <w:name w:val="default"/>
    <w:basedOn w:val="Normal"/>
    <w:uiPriority w:val="99"/>
    <w:rsid w:val="00DC61E5"/>
    <w:pPr>
      <w:autoSpaceDE w:val="0"/>
      <w:autoSpaceDN w:val="0"/>
    </w:pPr>
    <w:rPr>
      <w:rFonts w:cs="Tahoma"/>
      <w:color w:val="000000"/>
    </w:rPr>
  </w:style>
  <w:style w:type="paragraph" w:customStyle="1" w:styleId="StyleCarCharCarCarCar">
    <w:name w:val="Style Car Char Car Car Car"/>
    <w:basedOn w:val="Normal"/>
    <w:uiPriority w:val="99"/>
    <w:rsid w:val="00D47622"/>
    <w:pPr>
      <w:spacing w:after="160" w:line="240" w:lineRule="exact"/>
    </w:pPr>
    <w:rPr>
      <w:sz w:val="20"/>
      <w:szCs w:val="20"/>
    </w:rPr>
  </w:style>
  <w:style w:type="character" w:styleId="Accentuation">
    <w:name w:val="Emphasis"/>
    <w:basedOn w:val="Policepardfaut"/>
    <w:uiPriority w:val="20"/>
    <w:qFormat/>
    <w:rsid w:val="004B6EB6"/>
    <w:rPr>
      <w:rFonts w:cs="Times New Roman"/>
      <w:b/>
      <w:bCs/>
    </w:rPr>
  </w:style>
  <w:style w:type="character" w:customStyle="1" w:styleId="textevaleur1">
    <w:name w:val="textevaleur1"/>
    <w:basedOn w:val="Policepardfaut"/>
    <w:uiPriority w:val="99"/>
    <w:rsid w:val="001178B1"/>
    <w:rPr>
      <w:rFonts w:ascii="Verdana" w:hAnsi="Verdana" w:cs="Times New Roman"/>
      <w:color w:val="67747B"/>
      <w:sz w:val="17"/>
      <w:szCs w:val="17"/>
    </w:rPr>
  </w:style>
  <w:style w:type="paragraph" w:customStyle="1" w:styleId="CharCharChar">
    <w:name w:val="Char Char Char"/>
    <w:basedOn w:val="Normal"/>
    <w:uiPriority w:val="99"/>
    <w:semiHidden/>
    <w:rsid w:val="006C23E7"/>
    <w:pPr>
      <w:spacing w:after="160" w:line="240" w:lineRule="exact"/>
    </w:pPr>
    <w:rPr>
      <w:rFonts w:ascii="Verdana" w:hAnsi="Verdana"/>
      <w:color w:val="333333"/>
      <w:sz w:val="18"/>
      <w:lang w:val="en-US" w:eastAsia="en-US"/>
    </w:rPr>
  </w:style>
  <w:style w:type="paragraph" w:styleId="Paragraphedeliste">
    <w:name w:val="List Paragraph"/>
    <w:basedOn w:val="Normal"/>
    <w:uiPriority w:val="34"/>
    <w:qFormat/>
    <w:rsid w:val="004B6EB6"/>
    <w:pPr>
      <w:ind w:left="720"/>
      <w:contextualSpacing/>
    </w:pPr>
  </w:style>
  <w:style w:type="paragraph" w:styleId="Titre">
    <w:name w:val="Title"/>
    <w:basedOn w:val="Style1"/>
    <w:next w:val="Normal"/>
    <w:link w:val="TitreCar"/>
    <w:autoRedefine/>
    <w:qFormat/>
    <w:rsid w:val="004B6EB6"/>
    <w:pPr>
      <w:numPr>
        <w:numId w:val="0"/>
      </w:numPr>
      <w:spacing w:before="240" w:after="240"/>
    </w:pPr>
    <w:rPr>
      <w:rFonts w:cs="Tahoma"/>
      <w:caps w:val="0"/>
      <w:color w:val="0085BD"/>
      <w:szCs w:val="22"/>
    </w:rPr>
  </w:style>
  <w:style w:type="character" w:customStyle="1" w:styleId="TitreCar">
    <w:name w:val="Titre Car"/>
    <w:basedOn w:val="Policepardfaut"/>
    <w:link w:val="Titre"/>
    <w:locked/>
    <w:rsid w:val="004B6EB6"/>
    <w:rPr>
      <w:rFonts w:eastAsiaTheme="majorEastAsia" w:cs="Tahoma"/>
      <w:b/>
      <w:bCs/>
      <w:noProof/>
      <w:color w:val="0085BD"/>
      <w:kern w:val="32"/>
      <w:sz w:val="24"/>
    </w:rPr>
  </w:style>
  <w:style w:type="character" w:styleId="lev">
    <w:name w:val="Strong"/>
    <w:basedOn w:val="Policepardfaut"/>
    <w:uiPriority w:val="22"/>
    <w:qFormat/>
    <w:rsid w:val="004B6EB6"/>
    <w:rPr>
      <w:rFonts w:cs="Times New Roman"/>
      <w:b/>
      <w:bCs/>
    </w:rPr>
  </w:style>
  <w:style w:type="paragraph" w:customStyle="1" w:styleId="Paragraphedeliste1">
    <w:name w:val="Paragraphe de liste1"/>
    <w:basedOn w:val="Normal"/>
    <w:uiPriority w:val="99"/>
    <w:rsid w:val="00E209E2"/>
    <w:pPr>
      <w:spacing w:after="200" w:line="252" w:lineRule="auto"/>
      <w:ind w:left="720"/>
    </w:pPr>
    <w:rPr>
      <w:rFonts w:ascii="Cambria" w:hAnsi="Cambria"/>
    </w:rPr>
  </w:style>
  <w:style w:type="paragraph" w:styleId="Rvision">
    <w:name w:val="Revision"/>
    <w:hidden/>
    <w:uiPriority w:val="99"/>
    <w:semiHidden/>
    <w:rsid w:val="00AC74D1"/>
    <w:rPr>
      <w:sz w:val="24"/>
      <w:szCs w:val="24"/>
    </w:rPr>
  </w:style>
  <w:style w:type="paragraph" w:styleId="Retraitcorpsdetexte">
    <w:name w:val="Body Text Indent"/>
    <w:basedOn w:val="Normal"/>
    <w:link w:val="RetraitcorpsdetexteCar"/>
    <w:uiPriority w:val="99"/>
    <w:semiHidden/>
    <w:unhideWhenUsed/>
    <w:rsid w:val="00ED2D64"/>
    <w:pPr>
      <w:spacing w:after="120"/>
      <w:ind w:left="283"/>
    </w:pPr>
  </w:style>
  <w:style w:type="character" w:customStyle="1" w:styleId="RetraitcorpsdetexteCar">
    <w:name w:val="Retrait corps de texte Car"/>
    <w:basedOn w:val="Policepardfaut"/>
    <w:link w:val="Retraitcorpsdetexte"/>
    <w:uiPriority w:val="99"/>
    <w:semiHidden/>
    <w:rsid w:val="00ED2D64"/>
    <w:rPr>
      <w:sz w:val="24"/>
      <w:szCs w:val="24"/>
    </w:rPr>
  </w:style>
  <w:style w:type="character" w:customStyle="1" w:styleId="Titre4Car">
    <w:name w:val="Titre 4 Car"/>
    <w:basedOn w:val="Policepardfaut"/>
    <w:link w:val="Titre4"/>
    <w:rsid w:val="004B6EB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4B6EB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4B6EB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semiHidden/>
    <w:rsid w:val="004B6EB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4B6EB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4B6EB6"/>
    <w:rPr>
      <w:rFonts w:asciiTheme="majorHAnsi" w:eastAsiaTheme="majorEastAsia" w:hAnsiTheme="majorHAnsi" w:cstheme="majorBidi"/>
      <w:i/>
      <w:iCs/>
      <w:color w:val="404040" w:themeColor="text1" w:themeTint="BF"/>
      <w:sz w:val="20"/>
      <w:szCs w:val="20"/>
    </w:rPr>
  </w:style>
  <w:style w:type="character" w:customStyle="1" w:styleId="st1">
    <w:name w:val="st1"/>
    <w:basedOn w:val="Policepardfaut"/>
    <w:uiPriority w:val="99"/>
    <w:rsid w:val="009C2543"/>
  </w:style>
  <w:style w:type="paragraph" w:styleId="En-ttedetabledesmatires">
    <w:name w:val="TOC Heading"/>
    <w:basedOn w:val="Titre1"/>
    <w:next w:val="Normal"/>
    <w:uiPriority w:val="39"/>
    <w:semiHidden/>
    <w:unhideWhenUsed/>
    <w:qFormat/>
    <w:rsid w:val="004B6EB6"/>
    <w:pPr>
      <w:keepLines/>
      <w:numPr>
        <w:numId w:val="0"/>
      </w:numPr>
      <w:spacing w:after="0"/>
      <w:outlineLvl w:val="9"/>
    </w:pPr>
    <w:rPr>
      <w:rFonts w:asciiTheme="majorHAnsi" w:hAnsiTheme="majorHAnsi" w:cstheme="majorBidi"/>
      <w:noProof w:val="0"/>
      <w:color w:val="365F91" w:themeColor="accent1" w:themeShade="BF"/>
      <w:kern w:val="0"/>
      <w:sz w:val="28"/>
      <w:szCs w:val="28"/>
      <w:lang w:eastAsia="en-US"/>
    </w:rPr>
  </w:style>
  <w:style w:type="character" w:customStyle="1" w:styleId="doc-site">
    <w:name w:val="doc-site"/>
    <w:basedOn w:val="Policepardfaut"/>
    <w:rsid w:val="00144100"/>
  </w:style>
  <w:style w:type="paragraph" w:styleId="Lgende">
    <w:name w:val="caption"/>
    <w:basedOn w:val="Normal"/>
    <w:next w:val="Normal"/>
    <w:semiHidden/>
    <w:unhideWhenUsed/>
    <w:qFormat/>
    <w:locked/>
    <w:rsid w:val="004B6EB6"/>
    <w:pPr>
      <w:spacing w:after="200" w:line="240" w:lineRule="auto"/>
    </w:pPr>
    <w:rPr>
      <w:b/>
      <w:bCs/>
      <w:color w:val="4F81BD" w:themeColor="accent1"/>
      <w:sz w:val="18"/>
      <w:szCs w:val="18"/>
    </w:rPr>
  </w:style>
  <w:style w:type="paragraph" w:styleId="Sous-titre">
    <w:name w:val="Subtitle"/>
    <w:basedOn w:val="Normal"/>
    <w:next w:val="Normal"/>
    <w:link w:val="Sous-titreCar"/>
    <w:qFormat/>
    <w:locked/>
    <w:rsid w:val="004B6EB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4B6EB6"/>
    <w:rPr>
      <w:rFonts w:asciiTheme="majorHAnsi" w:eastAsiaTheme="majorEastAsia" w:hAnsiTheme="majorHAnsi" w:cstheme="majorBidi"/>
      <w:i/>
      <w:iCs/>
      <w:color w:val="4F81BD" w:themeColor="accent1"/>
      <w:spacing w:val="15"/>
      <w:sz w:val="24"/>
    </w:rPr>
  </w:style>
  <w:style w:type="character" w:customStyle="1" w:styleId="A7">
    <w:name w:val="A7"/>
    <w:uiPriority w:val="99"/>
    <w:rsid w:val="001E7B36"/>
    <w:rPr>
      <w:rFonts w:cs="Goudy"/>
      <w:color w:val="000000"/>
      <w:sz w:val="11"/>
      <w:szCs w:val="11"/>
    </w:rPr>
  </w:style>
  <w:style w:type="character" w:customStyle="1" w:styleId="bluemilk">
    <w:name w:val="blue_milk"/>
    <w:basedOn w:val="Policepardfaut"/>
    <w:rsid w:val="001E7B36"/>
  </w:style>
  <w:style w:type="character" w:customStyle="1" w:styleId="uppercase">
    <w:name w:val="uppercase"/>
    <w:basedOn w:val="Policepardfaut"/>
    <w:rsid w:val="001E7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BE"/>
    <w:pPr>
      <w:jc w:val="both"/>
    </w:pPr>
  </w:style>
  <w:style w:type="paragraph" w:styleId="Titre1">
    <w:name w:val="heading 1"/>
    <w:basedOn w:val="Normal"/>
    <w:next w:val="Normal"/>
    <w:link w:val="Titre1Car"/>
    <w:autoRedefine/>
    <w:qFormat/>
    <w:rsid w:val="00DA42BC"/>
    <w:pPr>
      <w:keepNext/>
      <w:numPr>
        <w:numId w:val="29"/>
      </w:numPr>
      <w:spacing w:before="360" w:after="240"/>
      <w:outlineLvl w:val="0"/>
    </w:pPr>
    <w:rPr>
      <w:rFonts w:eastAsiaTheme="majorEastAsia" w:cs="Tahoma"/>
      <w:b/>
      <w:bCs/>
      <w:noProof/>
      <w:kern w:val="32"/>
      <w:sz w:val="24"/>
      <w:szCs w:val="24"/>
    </w:rPr>
  </w:style>
  <w:style w:type="paragraph" w:styleId="Titre2">
    <w:name w:val="heading 2"/>
    <w:basedOn w:val="Normal"/>
    <w:link w:val="Titre2Car"/>
    <w:autoRedefine/>
    <w:qFormat/>
    <w:rsid w:val="004B6EB6"/>
    <w:pPr>
      <w:numPr>
        <w:ilvl w:val="1"/>
        <w:numId w:val="29"/>
      </w:numPr>
      <w:spacing w:before="240" w:after="120"/>
      <w:outlineLvl w:val="1"/>
    </w:pPr>
    <w:rPr>
      <w:rFonts w:eastAsiaTheme="majorEastAsia" w:cs="Tahoma"/>
      <w:b/>
      <w:bCs/>
    </w:rPr>
  </w:style>
  <w:style w:type="paragraph" w:styleId="Titre3">
    <w:name w:val="heading 3"/>
    <w:basedOn w:val="Normal"/>
    <w:next w:val="Normal"/>
    <w:link w:val="Titre3Car"/>
    <w:autoRedefine/>
    <w:qFormat/>
    <w:rsid w:val="004B6EB6"/>
    <w:pPr>
      <w:keepNext/>
      <w:numPr>
        <w:ilvl w:val="2"/>
        <w:numId w:val="29"/>
      </w:numPr>
      <w:spacing w:after="60"/>
      <w:outlineLvl w:val="2"/>
    </w:pPr>
    <w:rPr>
      <w:rFonts w:eastAsiaTheme="majorEastAsia" w:cs="Arial"/>
      <w:b/>
      <w:bCs/>
      <w:szCs w:val="26"/>
    </w:rPr>
  </w:style>
  <w:style w:type="paragraph" w:styleId="Titre4">
    <w:name w:val="heading 4"/>
    <w:basedOn w:val="Normal"/>
    <w:next w:val="Normal"/>
    <w:link w:val="Titre4Car"/>
    <w:unhideWhenUsed/>
    <w:qFormat/>
    <w:locked/>
    <w:rsid w:val="004B6EB6"/>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locked/>
    <w:rsid w:val="004B6EB6"/>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locked/>
    <w:rsid w:val="004B6EB6"/>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locked/>
    <w:rsid w:val="004B6EB6"/>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locked/>
    <w:rsid w:val="004B6EB6"/>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locked/>
    <w:rsid w:val="004B6EB6"/>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A42BC"/>
    <w:rPr>
      <w:rFonts w:eastAsiaTheme="majorEastAsia" w:cs="Tahoma"/>
      <w:b/>
      <w:bCs/>
      <w:noProof/>
      <w:kern w:val="32"/>
      <w:sz w:val="24"/>
      <w:szCs w:val="24"/>
    </w:rPr>
  </w:style>
  <w:style w:type="character" w:customStyle="1" w:styleId="Titre2Car">
    <w:name w:val="Titre 2 Car"/>
    <w:basedOn w:val="Policepardfaut"/>
    <w:link w:val="Titre2"/>
    <w:locked/>
    <w:rsid w:val="004B6EB6"/>
    <w:rPr>
      <w:rFonts w:eastAsiaTheme="majorEastAsia" w:cs="Tahoma"/>
      <w:b/>
      <w:bCs/>
    </w:rPr>
  </w:style>
  <w:style w:type="character" w:customStyle="1" w:styleId="Titre3Car">
    <w:name w:val="Titre 3 Car"/>
    <w:basedOn w:val="Policepardfaut"/>
    <w:link w:val="Titre3"/>
    <w:locked/>
    <w:rsid w:val="004B6EB6"/>
    <w:rPr>
      <w:rFonts w:eastAsiaTheme="majorEastAsia" w:cs="Arial"/>
      <w:b/>
      <w:bCs/>
      <w:szCs w:val="26"/>
    </w:rPr>
  </w:style>
  <w:style w:type="character" w:styleId="Lienhypertexte">
    <w:name w:val="Hyperlink"/>
    <w:basedOn w:val="Policepardfaut"/>
    <w:uiPriority w:val="99"/>
    <w:rsid w:val="00B23BF5"/>
    <w:rPr>
      <w:rFonts w:ascii="Verdana" w:hAnsi="Verdana" w:cs="Times New Roman"/>
      <w:color w:val="CC3300"/>
      <w:sz w:val="24"/>
      <w:szCs w:val="24"/>
      <w:u w:val="none"/>
      <w:effect w:val="none"/>
    </w:rPr>
  </w:style>
  <w:style w:type="paragraph" w:styleId="NormalWeb">
    <w:name w:val="Normal (Web)"/>
    <w:basedOn w:val="Normal"/>
    <w:uiPriority w:val="99"/>
    <w:rsid w:val="00B23BF5"/>
    <w:pPr>
      <w:spacing w:before="100" w:beforeAutospacing="1" w:after="100" w:afterAutospacing="1"/>
    </w:pPr>
    <w:rPr>
      <w:rFonts w:ascii="Verdana" w:hAnsi="Verdana"/>
      <w:color w:val="000000"/>
    </w:rPr>
  </w:style>
  <w:style w:type="paragraph" w:customStyle="1" w:styleId="clearimagefloat">
    <w:name w:val="clearimagefloat"/>
    <w:basedOn w:val="Normal"/>
    <w:uiPriority w:val="99"/>
    <w:rsid w:val="00B23BF5"/>
    <w:rPr>
      <w:rFonts w:ascii="Verdana" w:hAnsi="Verdana"/>
      <w:color w:val="000000"/>
      <w:sz w:val="2"/>
      <w:szCs w:val="2"/>
    </w:rPr>
  </w:style>
  <w:style w:type="paragraph" w:styleId="Pieddepage">
    <w:name w:val="footer"/>
    <w:basedOn w:val="Normal"/>
    <w:link w:val="PieddepageCar"/>
    <w:uiPriority w:val="99"/>
    <w:rsid w:val="00B23BF5"/>
    <w:pPr>
      <w:tabs>
        <w:tab w:val="center" w:pos="4536"/>
        <w:tab w:val="right" w:pos="9072"/>
      </w:tabs>
    </w:pPr>
  </w:style>
  <w:style w:type="character" w:customStyle="1" w:styleId="PieddepageCar">
    <w:name w:val="Pied de page Car"/>
    <w:basedOn w:val="Policepardfaut"/>
    <w:link w:val="Pieddepage"/>
    <w:uiPriority w:val="99"/>
    <w:semiHidden/>
    <w:rsid w:val="00C86112"/>
    <w:rPr>
      <w:sz w:val="24"/>
      <w:szCs w:val="24"/>
    </w:rPr>
  </w:style>
  <w:style w:type="character" w:styleId="Numrodepage">
    <w:name w:val="page number"/>
    <w:basedOn w:val="Policepardfaut"/>
    <w:uiPriority w:val="99"/>
    <w:rsid w:val="00B23BF5"/>
    <w:rPr>
      <w:rFonts w:cs="Times New Roman"/>
    </w:rPr>
  </w:style>
  <w:style w:type="paragraph" w:styleId="En-tte">
    <w:name w:val="header"/>
    <w:basedOn w:val="Normal"/>
    <w:link w:val="En-tteCar"/>
    <w:uiPriority w:val="99"/>
    <w:rsid w:val="00B23BF5"/>
    <w:pPr>
      <w:tabs>
        <w:tab w:val="center" w:pos="4536"/>
        <w:tab w:val="right" w:pos="9072"/>
      </w:tabs>
    </w:pPr>
  </w:style>
  <w:style w:type="character" w:customStyle="1" w:styleId="En-tteCar">
    <w:name w:val="En-tête Car"/>
    <w:basedOn w:val="Policepardfaut"/>
    <w:link w:val="En-tte"/>
    <w:uiPriority w:val="99"/>
    <w:semiHidden/>
    <w:rsid w:val="00C86112"/>
    <w:rPr>
      <w:sz w:val="24"/>
      <w:szCs w:val="24"/>
    </w:rPr>
  </w:style>
  <w:style w:type="paragraph" w:styleId="Corpsdetexte">
    <w:name w:val="Body Text"/>
    <w:basedOn w:val="Normal"/>
    <w:link w:val="CorpsdetexteCar"/>
    <w:uiPriority w:val="99"/>
    <w:rsid w:val="00B23BF5"/>
    <w:rPr>
      <w:rFonts w:ascii="Guatemala" w:hAnsi="Guatemala"/>
      <w:szCs w:val="20"/>
    </w:rPr>
  </w:style>
  <w:style w:type="character" w:customStyle="1" w:styleId="CorpsdetexteCar">
    <w:name w:val="Corps de texte Car"/>
    <w:basedOn w:val="Policepardfaut"/>
    <w:link w:val="Corpsdetexte"/>
    <w:uiPriority w:val="99"/>
    <w:semiHidden/>
    <w:rsid w:val="00C86112"/>
    <w:rPr>
      <w:sz w:val="24"/>
      <w:szCs w:val="24"/>
    </w:rPr>
  </w:style>
  <w:style w:type="table" w:styleId="Grilledutableau">
    <w:name w:val="Table Grid"/>
    <w:basedOn w:val="TableauNormal"/>
    <w:uiPriority w:val="99"/>
    <w:rsid w:val="00B2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0">
    <w:name w:val="Titre 0"/>
    <w:basedOn w:val="Titre1"/>
    <w:uiPriority w:val="99"/>
    <w:rsid w:val="00B23BF5"/>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spacing w:before="0" w:after="0"/>
      <w:ind w:left="0" w:right="-25"/>
      <w:jc w:val="center"/>
    </w:pPr>
    <w:rPr>
      <w:sz w:val="28"/>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B23BF5"/>
    <w:pPr>
      <w:numPr>
        <w:numId w:val="1"/>
      </w:numPr>
      <w:tabs>
        <w:tab w:val="num" w:pos="360"/>
      </w:tabs>
      <w:ind w:left="0" w:firstLine="0"/>
    </w:pPr>
    <w:rPr>
      <w:i/>
      <w:iCs/>
    </w:rPr>
  </w:style>
  <w:style w:type="character" w:customStyle="1" w:styleId="StyleTitre2Tahoma11ptItaliqueCarCar">
    <w:name w:val="Style Titre 2 + Tahoma 11 pt Italique Car Car"/>
    <w:basedOn w:val="Titre2Car"/>
    <w:link w:val="StyleTitre2Tahoma11ptItalique"/>
    <w:uiPriority w:val="99"/>
    <w:locked/>
    <w:rsid w:val="00B23BF5"/>
    <w:rPr>
      <w:rFonts w:ascii="Calibri" w:eastAsiaTheme="majorEastAsia" w:hAnsi="Calibri" w:cs="Tahoma"/>
      <w:b/>
      <w:bCs/>
      <w:i/>
      <w:iCs/>
      <w:sz w:val="22"/>
      <w:szCs w:val="22"/>
    </w:rPr>
  </w:style>
  <w:style w:type="paragraph" w:styleId="TM1">
    <w:name w:val="toc 1"/>
    <w:basedOn w:val="Normal"/>
    <w:next w:val="Normal"/>
    <w:autoRedefine/>
    <w:uiPriority w:val="39"/>
    <w:rsid w:val="005B2D4D"/>
    <w:pPr>
      <w:tabs>
        <w:tab w:val="left" w:pos="851"/>
        <w:tab w:val="right" w:leader="underscore" w:pos="8789"/>
      </w:tabs>
      <w:spacing w:line="360" w:lineRule="auto"/>
      <w:ind w:left="284" w:right="539"/>
      <w:contextualSpacing/>
    </w:pPr>
    <w:rPr>
      <w:rFonts w:cs="Tahoma"/>
      <w:bCs/>
      <w:noProof/>
      <w:sz w:val="24"/>
    </w:rPr>
  </w:style>
  <w:style w:type="paragraph" w:customStyle="1" w:styleId="StyleTitre0BordurePasdebordureHautPasdebordure">
    <w:name w:val="Style Titre 0 + Bordure : : (Pas de bordure) Haut: (Pas de bordure..."/>
    <w:basedOn w:val="Titre0"/>
    <w:uiPriority w:val="99"/>
    <w:rsid w:val="00B23BF5"/>
    <w:rPr>
      <w:rFonts w:cs="Times New Roman"/>
      <w:szCs w:val="20"/>
      <w:bdr w:val="none" w:sz="0" w:space="0" w:color="auto"/>
    </w:rPr>
  </w:style>
  <w:style w:type="paragraph" w:customStyle="1" w:styleId="Soustitrenormal">
    <w:name w:val="Sous titre normal"/>
    <w:basedOn w:val="Normal"/>
    <w:uiPriority w:val="99"/>
    <w:rsid w:val="00B23BF5"/>
    <w:pPr>
      <w:numPr>
        <w:numId w:val="2"/>
      </w:numPr>
    </w:pPr>
    <w:rPr>
      <w:b/>
      <w:bCs/>
      <w:i/>
      <w:iCs/>
      <w:szCs w:val="20"/>
    </w:rPr>
  </w:style>
  <w:style w:type="paragraph" w:styleId="Retraitcorpsdetexte2">
    <w:name w:val="Body Text Indent 2"/>
    <w:basedOn w:val="Normal"/>
    <w:link w:val="Retraitcorpsdetexte2Car"/>
    <w:uiPriority w:val="99"/>
    <w:rsid w:val="00B23BF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86112"/>
    <w:rPr>
      <w:sz w:val="24"/>
      <w:szCs w:val="24"/>
    </w:rPr>
  </w:style>
  <w:style w:type="paragraph" w:styleId="Normalcentr">
    <w:name w:val="Block Text"/>
    <w:basedOn w:val="Normal"/>
    <w:uiPriority w:val="99"/>
    <w:rsid w:val="00B23BF5"/>
    <w:pPr>
      <w:autoSpaceDE w:val="0"/>
      <w:autoSpaceDN w:val="0"/>
      <w:spacing w:before="100" w:after="100"/>
      <w:ind w:left="851" w:right="567"/>
      <w:jc w:val="center"/>
    </w:pPr>
    <w:rPr>
      <w:rFonts w:ascii="Arial" w:hAnsi="Arial" w:cs="Arial"/>
      <w:sz w:val="20"/>
      <w:szCs w:val="20"/>
    </w:rPr>
  </w:style>
  <w:style w:type="paragraph" w:styleId="Notedebasdepage">
    <w:name w:val="footnote text"/>
    <w:basedOn w:val="Normal"/>
    <w:link w:val="NotedebasdepageCar"/>
    <w:uiPriority w:val="99"/>
    <w:semiHidden/>
    <w:rsid w:val="0047340C"/>
    <w:rPr>
      <w:sz w:val="20"/>
      <w:szCs w:val="20"/>
    </w:rPr>
  </w:style>
  <w:style w:type="character" w:customStyle="1" w:styleId="NotedebasdepageCar">
    <w:name w:val="Note de bas de page Car"/>
    <w:basedOn w:val="Policepardfaut"/>
    <w:link w:val="Notedebasdepage"/>
    <w:uiPriority w:val="99"/>
    <w:semiHidden/>
    <w:rsid w:val="00C86112"/>
    <w:rPr>
      <w:sz w:val="20"/>
      <w:szCs w:val="20"/>
    </w:rPr>
  </w:style>
  <w:style w:type="character" w:styleId="Appelnotedebasdep">
    <w:name w:val="footnote reference"/>
    <w:basedOn w:val="Policepardfaut"/>
    <w:uiPriority w:val="99"/>
    <w:semiHidden/>
    <w:rsid w:val="0047340C"/>
    <w:rPr>
      <w:rFonts w:cs="Times New Roman"/>
      <w:vertAlign w:val="superscript"/>
    </w:rPr>
  </w:style>
  <w:style w:type="paragraph" w:styleId="Textedebulles">
    <w:name w:val="Balloon Text"/>
    <w:basedOn w:val="Normal"/>
    <w:link w:val="TextedebullesCar"/>
    <w:uiPriority w:val="99"/>
    <w:semiHidden/>
    <w:rsid w:val="0030329E"/>
    <w:rPr>
      <w:rFonts w:cs="Tahoma"/>
      <w:sz w:val="16"/>
      <w:szCs w:val="16"/>
    </w:rPr>
  </w:style>
  <w:style w:type="character" w:customStyle="1" w:styleId="TextedebullesCar">
    <w:name w:val="Texte de bulles Car"/>
    <w:basedOn w:val="Policepardfaut"/>
    <w:link w:val="Textedebulles"/>
    <w:uiPriority w:val="99"/>
    <w:semiHidden/>
    <w:rsid w:val="00C86112"/>
    <w:rPr>
      <w:sz w:val="0"/>
      <w:szCs w:val="0"/>
    </w:rPr>
  </w:style>
  <w:style w:type="paragraph" w:styleId="Notedefin">
    <w:name w:val="endnote text"/>
    <w:basedOn w:val="Normal"/>
    <w:link w:val="NotedefinCar"/>
    <w:uiPriority w:val="99"/>
    <w:semiHidden/>
    <w:rsid w:val="00CB59FF"/>
    <w:rPr>
      <w:sz w:val="20"/>
      <w:szCs w:val="20"/>
    </w:rPr>
  </w:style>
  <w:style w:type="character" w:customStyle="1" w:styleId="NotedefinCar">
    <w:name w:val="Note de fin Car"/>
    <w:basedOn w:val="Policepardfaut"/>
    <w:link w:val="Notedefin"/>
    <w:uiPriority w:val="99"/>
    <w:semiHidden/>
    <w:rsid w:val="00C86112"/>
    <w:rPr>
      <w:sz w:val="20"/>
      <w:szCs w:val="20"/>
    </w:rPr>
  </w:style>
  <w:style w:type="character" w:styleId="Appeldenotedefin">
    <w:name w:val="endnote reference"/>
    <w:basedOn w:val="Policepardfaut"/>
    <w:uiPriority w:val="99"/>
    <w:semiHidden/>
    <w:rsid w:val="00CB59FF"/>
    <w:rPr>
      <w:rFonts w:cs="Times New Roman"/>
      <w:vertAlign w:val="superscript"/>
    </w:rPr>
  </w:style>
  <w:style w:type="character" w:customStyle="1" w:styleId="StyleTahoma11pt">
    <w:name w:val="Style Tahoma 11 pt"/>
    <w:basedOn w:val="Policepardfaut"/>
    <w:uiPriority w:val="99"/>
    <w:rsid w:val="005F430D"/>
    <w:rPr>
      <w:rFonts w:ascii="Tahoma" w:hAnsi="Tahoma" w:cs="Times New Roman"/>
      <w:sz w:val="22"/>
    </w:rPr>
  </w:style>
  <w:style w:type="character" w:styleId="Lienhypertextesuivivisit">
    <w:name w:val="FollowedHyperlink"/>
    <w:basedOn w:val="Policepardfaut"/>
    <w:uiPriority w:val="99"/>
    <w:rsid w:val="008B353E"/>
    <w:rPr>
      <w:rFonts w:cs="Times New Roman"/>
      <w:color w:val="800080"/>
      <w:u w:val="single"/>
    </w:rPr>
  </w:style>
  <w:style w:type="character" w:styleId="Marquedecommentaire">
    <w:name w:val="annotation reference"/>
    <w:basedOn w:val="Policepardfaut"/>
    <w:uiPriority w:val="99"/>
    <w:semiHidden/>
    <w:rsid w:val="006F38AB"/>
    <w:rPr>
      <w:rFonts w:cs="Times New Roman"/>
      <w:sz w:val="16"/>
      <w:szCs w:val="16"/>
    </w:rPr>
  </w:style>
  <w:style w:type="paragraph" w:styleId="Commentaire">
    <w:name w:val="annotation text"/>
    <w:basedOn w:val="Normal"/>
    <w:link w:val="CommentaireCar"/>
    <w:uiPriority w:val="99"/>
    <w:semiHidden/>
    <w:rsid w:val="006F38AB"/>
    <w:rPr>
      <w:sz w:val="20"/>
      <w:szCs w:val="20"/>
    </w:rPr>
  </w:style>
  <w:style w:type="character" w:customStyle="1" w:styleId="CommentaireCar">
    <w:name w:val="Commentaire Car"/>
    <w:basedOn w:val="Policepardfaut"/>
    <w:link w:val="Commentaire"/>
    <w:uiPriority w:val="99"/>
    <w:semiHidden/>
    <w:rsid w:val="00C86112"/>
    <w:rPr>
      <w:sz w:val="20"/>
      <w:szCs w:val="20"/>
    </w:rPr>
  </w:style>
  <w:style w:type="paragraph" w:styleId="Objetducommentaire">
    <w:name w:val="annotation subject"/>
    <w:basedOn w:val="Commentaire"/>
    <w:next w:val="Commentaire"/>
    <w:link w:val="ObjetducommentaireCar"/>
    <w:uiPriority w:val="99"/>
    <w:semiHidden/>
    <w:rsid w:val="006F38AB"/>
    <w:rPr>
      <w:b/>
      <w:bCs/>
    </w:rPr>
  </w:style>
  <w:style w:type="character" w:customStyle="1" w:styleId="ObjetducommentaireCar">
    <w:name w:val="Objet du commentaire Car"/>
    <w:basedOn w:val="CommentaireCar"/>
    <w:link w:val="Objetducommentaire"/>
    <w:uiPriority w:val="99"/>
    <w:semiHidden/>
    <w:rsid w:val="00C86112"/>
    <w:rPr>
      <w:b/>
      <w:bCs/>
      <w:sz w:val="20"/>
      <w:szCs w:val="20"/>
    </w:rPr>
  </w:style>
  <w:style w:type="paragraph" w:customStyle="1" w:styleId="Default">
    <w:name w:val="Default"/>
    <w:uiPriority w:val="99"/>
    <w:qFormat/>
    <w:rsid w:val="004B6EB6"/>
    <w:pPr>
      <w:autoSpaceDE w:val="0"/>
      <w:autoSpaceDN w:val="0"/>
      <w:adjustRightInd w:val="0"/>
    </w:pPr>
    <w:rPr>
      <w:rFonts w:ascii="Tahoma" w:hAnsi="Tahoma" w:cs="Tahoma"/>
      <w:color w:val="000000"/>
      <w:sz w:val="24"/>
    </w:rPr>
  </w:style>
  <w:style w:type="paragraph" w:customStyle="1" w:styleId="StyleStyleTitre0BordurePasdebordureHautPasdebo">
    <w:name w:val="Style Style Titre 0 + Bordure : : (Pas de bordure) Haut: (Pas de bo..."/>
    <w:basedOn w:val="StyleTitre0BordurePasdebordureHautPasdebordure"/>
    <w:uiPriority w:val="99"/>
    <w:rsid w:val="00597B3C"/>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597B3C"/>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styleId="TM2">
    <w:name w:val="toc 2"/>
    <w:basedOn w:val="Normal"/>
    <w:next w:val="Normal"/>
    <w:autoRedefine/>
    <w:uiPriority w:val="39"/>
    <w:rsid w:val="004B6EB6"/>
    <w:pPr>
      <w:tabs>
        <w:tab w:val="left" w:pos="720"/>
        <w:tab w:val="left" w:pos="1440"/>
        <w:tab w:val="right" w:leader="dot" w:pos="8789"/>
      </w:tabs>
      <w:ind w:left="851"/>
    </w:pPr>
    <w:rPr>
      <w:b/>
      <w:bCs/>
      <w:sz w:val="20"/>
      <w:szCs w:val="20"/>
    </w:rPr>
  </w:style>
  <w:style w:type="paragraph" w:styleId="TM3">
    <w:name w:val="toc 3"/>
    <w:basedOn w:val="Normal"/>
    <w:next w:val="Normal"/>
    <w:autoRedefine/>
    <w:uiPriority w:val="39"/>
    <w:rsid w:val="000B305D"/>
    <w:pPr>
      <w:ind w:left="240"/>
    </w:pPr>
    <w:rPr>
      <w:sz w:val="20"/>
      <w:szCs w:val="20"/>
    </w:rPr>
  </w:style>
  <w:style w:type="paragraph" w:styleId="TM4">
    <w:name w:val="toc 4"/>
    <w:basedOn w:val="Normal"/>
    <w:next w:val="Normal"/>
    <w:autoRedefine/>
    <w:uiPriority w:val="99"/>
    <w:semiHidden/>
    <w:rsid w:val="000B305D"/>
    <w:pPr>
      <w:ind w:left="480"/>
    </w:pPr>
    <w:rPr>
      <w:sz w:val="20"/>
      <w:szCs w:val="20"/>
    </w:rPr>
  </w:style>
  <w:style w:type="paragraph" w:styleId="TM5">
    <w:name w:val="toc 5"/>
    <w:basedOn w:val="Normal"/>
    <w:next w:val="Normal"/>
    <w:autoRedefine/>
    <w:uiPriority w:val="99"/>
    <w:semiHidden/>
    <w:rsid w:val="000B305D"/>
    <w:pPr>
      <w:ind w:left="720"/>
    </w:pPr>
    <w:rPr>
      <w:sz w:val="20"/>
      <w:szCs w:val="20"/>
    </w:rPr>
  </w:style>
  <w:style w:type="paragraph" w:styleId="TM6">
    <w:name w:val="toc 6"/>
    <w:basedOn w:val="Normal"/>
    <w:next w:val="Normal"/>
    <w:autoRedefine/>
    <w:uiPriority w:val="99"/>
    <w:semiHidden/>
    <w:rsid w:val="000B305D"/>
    <w:pPr>
      <w:ind w:left="960"/>
    </w:pPr>
    <w:rPr>
      <w:sz w:val="20"/>
      <w:szCs w:val="20"/>
    </w:rPr>
  </w:style>
  <w:style w:type="paragraph" w:styleId="TM7">
    <w:name w:val="toc 7"/>
    <w:basedOn w:val="Normal"/>
    <w:next w:val="Normal"/>
    <w:autoRedefine/>
    <w:uiPriority w:val="99"/>
    <w:semiHidden/>
    <w:rsid w:val="000B305D"/>
    <w:pPr>
      <w:ind w:left="1200"/>
    </w:pPr>
    <w:rPr>
      <w:sz w:val="20"/>
      <w:szCs w:val="20"/>
    </w:rPr>
  </w:style>
  <w:style w:type="paragraph" w:styleId="TM8">
    <w:name w:val="toc 8"/>
    <w:basedOn w:val="Normal"/>
    <w:next w:val="Normal"/>
    <w:autoRedefine/>
    <w:uiPriority w:val="99"/>
    <w:semiHidden/>
    <w:rsid w:val="000B305D"/>
    <w:pPr>
      <w:ind w:left="1440"/>
    </w:pPr>
    <w:rPr>
      <w:sz w:val="20"/>
      <w:szCs w:val="20"/>
    </w:rPr>
  </w:style>
  <w:style w:type="paragraph" w:styleId="TM9">
    <w:name w:val="toc 9"/>
    <w:basedOn w:val="Normal"/>
    <w:next w:val="Normal"/>
    <w:autoRedefine/>
    <w:uiPriority w:val="99"/>
    <w:semiHidden/>
    <w:rsid w:val="000B305D"/>
    <w:pPr>
      <w:ind w:left="1680"/>
    </w:pPr>
    <w:rPr>
      <w:sz w:val="20"/>
      <w:szCs w:val="20"/>
    </w:rPr>
  </w:style>
  <w:style w:type="paragraph" w:customStyle="1" w:styleId="default0">
    <w:name w:val="default"/>
    <w:basedOn w:val="Normal"/>
    <w:uiPriority w:val="99"/>
    <w:rsid w:val="00DC61E5"/>
    <w:pPr>
      <w:autoSpaceDE w:val="0"/>
      <w:autoSpaceDN w:val="0"/>
    </w:pPr>
    <w:rPr>
      <w:rFonts w:cs="Tahoma"/>
      <w:color w:val="000000"/>
    </w:rPr>
  </w:style>
  <w:style w:type="paragraph" w:customStyle="1" w:styleId="StyleCarCharCarCarCar">
    <w:name w:val="Style Car Char Car Car Car"/>
    <w:basedOn w:val="Normal"/>
    <w:uiPriority w:val="99"/>
    <w:rsid w:val="00D47622"/>
    <w:pPr>
      <w:spacing w:after="160" w:line="240" w:lineRule="exact"/>
    </w:pPr>
    <w:rPr>
      <w:sz w:val="20"/>
      <w:szCs w:val="20"/>
    </w:rPr>
  </w:style>
  <w:style w:type="character" w:styleId="Accentuation">
    <w:name w:val="Emphasis"/>
    <w:basedOn w:val="Policepardfaut"/>
    <w:uiPriority w:val="20"/>
    <w:qFormat/>
    <w:rsid w:val="004B6EB6"/>
    <w:rPr>
      <w:rFonts w:cs="Times New Roman"/>
      <w:b/>
      <w:bCs/>
    </w:rPr>
  </w:style>
  <w:style w:type="character" w:customStyle="1" w:styleId="textevaleur1">
    <w:name w:val="textevaleur1"/>
    <w:basedOn w:val="Policepardfaut"/>
    <w:uiPriority w:val="99"/>
    <w:rsid w:val="001178B1"/>
    <w:rPr>
      <w:rFonts w:ascii="Verdana" w:hAnsi="Verdana" w:cs="Times New Roman"/>
      <w:color w:val="67747B"/>
      <w:sz w:val="17"/>
      <w:szCs w:val="17"/>
    </w:rPr>
  </w:style>
  <w:style w:type="paragraph" w:customStyle="1" w:styleId="CharCharChar">
    <w:name w:val="Char Char Char"/>
    <w:basedOn w:val="Normal"/>
    <w:uiPriority w:val="99"/>
    <w:semiHidden/>
    <w:rsid w:val="006C23E7"/>
    <w:pPr>
      <w:spacing w:after="160" w:line="240" w:lineRule="exact"/>
    </w:pPr>
    <w:rPr>
      <w:rFonts w:ascii="Verdana" w:hAnsi="Verdana"/>
      <w:color w:val="333333"/>
      <w:sz w:val="18"/>
      <w:lang w:val="en-US" w:eastAsia="en-US"/>
    </w:rPr>
  </w:style>
  <w:style w:type="paragraph" w:styleId="Paragraphedeliste">
    <w:name w:val="List Paragraph"/>
    <w:basedOn w:val="Normal"/>
    <w:uiPriority w:val="34"/>
    <w:qFormat/>
    <w:rsid w:val="004B6EB6"/>
    <w:pPr>
      <w:ind w:left="720"/>
      <w:contextualSpacing/>
    </w:pPr>
  </w:style>
  <w:style w:type="paragraph" w:styleId="Titre">
    <w:name w:val="Title"/>
    <w:basedOn w:val="Style1"/>
    <w:next w:val="Normal"/>
    <w:link w:val="TitreCar"/>
    <w:autoRedefine/>
    <w:qFormat/>
    <w:rsid w:val="004B6EB6"/>
    <w:pPr>
      <w:numPr>
        <w:numId w:val="0"/>
      </w:numPr>
      <w:spacing w:before="240" w:after="240"/>
    </w:pPr>
    <w:rPr>
      <w:rFonts w:cs="Tahoma"/>
      <w:caps w:val="0"/>
      <w:color w:val="0085BD"/>
      <w:szCs w:val="22"/>
    </w:rPr>
  </w:style>
  <w:style w:type="character" w:customStyle="1" w:styleId="TitreCar">
    <w:name w:val="Titre Car"/>
    <w:basedOn w:val="Policepardfaut"/>
    <w:link w:val="Titre"/>
    <w:locked/>
    <w:rsid w:val="004B6EB6"/>
    <w:rPr>
      <w:rFonts w:eastAsiaTheme="majorEastAsia" w:cs="Tahoma"/>
      <w:b/>
      <w:bCs/>
      <w:noProof/>
      <w:color w:val="0085BD"/>
      <w:kern w:val="32"/>
      <w:sz w:val="24"/>
    </w:rPr>
  </w:style>
  <w:style w:type="character" w:styleId="lev">
    <w:name w:val="Strong"/>
    <w:basedOn w:val="Policepardfaut"/>
    <w:uiPriority w:val="22"/>
    <w:qFormat/>
    <w:rsid w:val="004B6EB6"/>
    <w:rPr>
      <w:rFonts w:cs="Times New Roman"/>
      <w:b/>
      <w:bCs/>
    </w:rPr>
  </w:style>
  <w:style w:type="paragraph" w:customStyle="1" w:styleId="Paragraphedeliste1">
    <w:name w:val="Paragraphe de liste1"/>
    <w:basedOn w:val="Normal"/>
    <w:uiPriority w:val="99"/>
    <w:rsid w:val="00E209E2"/>
    <w:pPr>
      <w:spacing w:after="200" w:line="252" w:lineRule="auto"/>
      <w:ind w:left="720"/>
    </w:pPr>
    <w:rPr>
      <w:rFonts w:ascii="Cambria" w:hAnsi="Cambria"/>
    </w:rPr>
  </w:style>
  <w:style w:type="paragraph" w:styleId="Rvision">
    <w:name w:val="Revision"/>
    <w:hidden/>
    <w:uiPriority w:val="99"/>
    <w:semiHidden/>
    <w:rsid w:val="00AC74D1"/>
    <w:rPr>
      <w:sz w:val="24"/>
      <w:szCs w:val="24"/>
    </w:rPr>
  </w:style>
  <w:style w:type="paragraph" w:styleId="Retraitcorpsdetexte">
    <w:name w:val="Body Text Indent"/>
    <w:basedOn w:val="Normal"/>
    <w:link w:val="RetraitcorpsdetexteCar"/>
    <w:uiPriority w:val="99"/>
    <w:semiHidden/>
    <w:unhideWhenUsed/>
    <w:rsid w:val="00ED2D64"/>
    <w:pPr>
      <w:spacing w:after="120"/>
      <w:ind w:left="283"/>
    </w:pPr>
  </w:style>
  <w:style w:type="character" w:customStyle="1" w:styleId="RetraitcorpsdetexteCar">
    <w:name w:val="Retrait corps de texte Car"/>
    <w:basedOn w:val="Policepardfaut"/>
    <w:link w:val="Retraitcorpsdetexte"/>
    <w:uiPriority w:val="99"/>
    <w:semiHidden/>
    <w:rsid w:val="00ED2D64"/>
    <w:rPr>
      <w:sz w:val="24"/>
      <w:szCs w:val="24"/>
    </w:rPr>
  </w:style>
  <w:style w:type="character" w:customStyle="1" w:styleId="Titre4Car">
    <w:name w:val="Titre 4 Car"/>
    <w:basedOn w:val="Policepardfaut"/>
    <w:link w:val="Titre4"/>
    <w:rsid w:val="004B6EB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4B6EB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4B6EB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semiHidden/>
    <w:rsid w:val="004B6EB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4B6EB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4B6EB6"/>
    <w:rPr>
      <w:rFonts w:asciiTheme="majorHAnsi" w:eastAsiaTheme="majorEastAsia" w:hAnsiTheme="majorHAnsi" w:cstheme="majorBidi"/>
      <w:i/>
      <w:iCs/>
      <w:color w:val="404040" w:themeColor="text1" w:themeTint="BF"/>
      <w:sz w:val="20"/>
      <w:szCs w:val="20"/>
    </w:rPr>
  </w:style>
  <w:style w:type="character" w:customStyle="1" w:styleId="st1">
    <w:name w:val="st1"/>
    <w:basedOn w:val="Policepardfaut"/>
    <w:uiPriority w:val="99"/>
    <w:rsid w:val="009C2543"/>
  </w:style>
  <w:style w:type="paragraph" w:styleId="En-ttedetabledesmatires">
    <w:name w:val="TOC Heading"/>
    <w:basedOn w:val="Titre1"/>
    <w:next w:val="Normal"/>
    <w:uiPriority w:val="39"/>
    <w:semiHidden/>
    <w:unhideWhenUsed/>
    <w:qFormat/>
    <w:rsid w:val="004B6EB6"/>
    <w:pPr>
      <w:keepLines/>
      <w:numPr>
        <w:numId w:val="0"/>
      </w:numPr>
      <w:spacing w:after="0"/>
      <w:outlineLvl w:val="9"/>
    </w:pPr>
    <w:rPr>
      <w:rFonts w:asciiTheme="majorHAnsi" w:hAnsiTheme="majorHAnsi" w:cstheme="majorBidi"/>
      <w:noProof w:val="0"/>
      <w:color w:val="365F91" w:themeColor="accent1" w:themeShade="BF"/>
      <w:kern w:val="0"/>
      <w:sz w:val="28"/>
      <w:szCs w:val="28"/>
      <w:lang w:eastAsia="en-US"/>
    </w:rPr>
  </w:style>
  <w:style w:type="character" w:customStyle="1" w:styleId="doc-site">
    <w:name w:val="doc-site"/>
    <w:basedOn w:val="Policepardfaut"/>
    <w:rsid w:val="00144100"/>
  </w:style>
  <w:style w:type="paragraph" w:styleId="Lgende">
    <w:name w:val="caption"/>
    <w:basedOn w:val="Normal"/>
    <w:next w:val="Normal"/>
    <w:semiHidden/>
    <w:unhideWhenUsed/>
    <w:qFormat/>
    <w:locked/>
    <w:rsid w:val="004B6EB6"/>
    <w:pPr>
      <w:spacing w:after="200" w:line="240" w:lineRule="auto"/>
    </w:pPr>
    <w:rPr>
      <w:b/>
      <w:bCs/>
      <w:color w:val="4F81BD" w:themeColor="accent1"/>
      <w:sz w:val="18"/>
      <w:szCs w:val="18"/>
    </w:rPr>
  </w:style>
  <w:style w:type="paragraph" w:styleId="Sous-titre">
    <w:name w:val="Subtitle"/>
    <w:basedOn w:val="Normal"/>
    <w:next w:val="Normal"/>
    <w:link w:val="Sous-titreCar"/>
    <w:qFormat/>
    <w:locked/>
    <w:rsid w:val="004B6EB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4B6EB6"/>
    <w:rPr>
      <w:rFonts w:asciiTheme="majorHAnsi" w:eastAsiaTheme="majorEastAsia" w:hAnsiTheme="majorHAnsi" w:cstheme="majorBidi"/>
      <w:i/>
      <w:iCs/>
      <w:color w:val="4F81BD" w:themeColor="accent1"/>
      <w:spacing w:val="15"/>
      <w:sz w:val="24"/>
    </w:rPr>
  </w:style>
  <w:style w:type="character" w:customStyle="1" w:styleId="A7">
    <w:name w:val="A7"/>
    <w:uiPriority w:val="99"/>
    <w:rsid w:val="001E7B36"/>
    <w:rPr>
      <w:rFonts w:cs="Goudy"/>
      <w:color w:val="000000"/>
      <w:sz w:val="11"/>
      <w:szCs w:val="11"/>
    </w:rPr>
  </w:style>
  <w:style w:type="character" w:customStyle="1" w:styleId="bluemilk">
    <w:name w:val="blue_milk"/>
    <w:basedOn w:val="Policepardfaut"/>
    <w:rsid w:val="001E7B36"/>
  </w:style>
  <w:style w:type="character" w:customStyle="1" w:styleId="uppercase">
    <w:name w:val="uppercase"/>
    <w:basedOn w:val="Policepardfaut"/>
    <w:rsid w:val="001E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2068">
      <w:bodyDiv w:val="1"/>
      <w:marLeft w:val="0"/>
      <w:marRight w:val="0"/>
      <w:marTop w:val="0"/>
      <w:marBottom w:val="0"/>
      <w:divBdr>
        <w:top w:val="none" w:sz="0" w:space="0" w:color="auto"/>
        <w:left w:val="none" w:sz="0" w:space="0" w:color="auto"/>
        <w:bottom w:val="none" w:sz="0" w:space="0" w:color="auto"/>
        <w:right w:val="none" w:sz="0" w:space="0" w:color="auto"/>
      </w:divBdr>
    </w:div>
    <w:div w:id="191456756">
      <w:bodyDiv w:val="1"/>
      <w:marLeft w:val="0"/>
      <w:marRight w:val="0"/>
      <w:marTop w:val="0"/>
      <w:marBottom w:val="0"/>
      <w:divBdr>
        <w:top w:val="none" w:sz="0" w:space="0" w:color="auto"/>
        <w:left w:val="none" w:sz="0" w:space="0" w:color="auto"/>
        <w:bottom w:val="none" w:sz="0" w:space="0" w:color="auto"/>
        <w:right w:val="none" w:sz="0" w:space="0" w:color="auto"/>
      </w:divBdr>
    </w:div>
    <w:div w:id="386150277">
      <w:bodyDiv w:val="1"/>
      <w:marLeft w:val="0"/>
      <w:marRight w:val="0"/>
      <w:marTop w:val="0"/>
      <w:marBottom w:val="0"/>
      <w:divBdr>
        <w:top w:val="none" w:sz="0" w:space="0" w:color="auto"/>
        <w:left w:val="none" w:sz="0" w:space="0" w:color="auto"/>
        <w:bottom w:val="none" w:sz="0" w:space="0" w:color="auto"/>
        <w:right w:val="none" w:sz="0" w:space="0" w:color="auto"/>
      </w:divBdr>
    </w:div>
    <w:div w:id="462307374">
      <w:bodyDiv w:val="1"/>
      <w:marLeft w:val="0"/>
      <w:marRight w:val="0"/>
      <w:marTop w:val="0"/>
      <w:marBottom w:val="0"/>
      <w:divBdr>
        <w:top w:val="none" w:sz="0" w:space="0" w:color="auto"/>
        <w:left w:val="none" w:sz="0" w:space="0" w:color="auto"/>
        <w:bottom w:val="none" w:sz="0" w:space="0" w:color="auto"/>
        <w:right w:val="none" w:sz="0" w:space="0" w:color="auto"/>
      </w:divBdr>
    </w:div>
    <w:div w:id="592204194">
      <w:bodyDiv w:val="1"/>
      <w:marLeft w:val="0"/>
      <w:marRight w:val="0"/>
      <w:marTop w:val="0"/>
      <w:marBottom w:val="0"/>
      <w:divBdr>
        <w:top w:val="none" w:sz="0" w:space="0" w:color="auto"/>
        <w:left w:val="none" w:sz="0" w:space="0" w:color="auto"/>
        <w:bottom w:val="none" w:sz="0" w:space="0" w:color="auto"/>
        <w:right w:val="none" w:sz="0" w:space="0" w:color="auto"/>
      </w:divBdr>
    </w:div>
    <w:div w:id="766384135">
      <w:marLeft w:val="0"/>
      <w:marRight w:val="0"/>
      <w:marTop w:val="0"/>
      <w:marBottom w:val="0"/>
      <w:divBdr>
        <w:top w:val="none" w:sz="0" w:space="0" w:color="auto"/>
        <w:left w:val="none" w:sz="0" w:space="0" w:color="auto"/>
        <w:bottom w:val="none" w:sz="0" w:space="0" w:color="auto"/>
        <w:right w:val="none" w:sz="0" w:space="0" w:color="auto"/>
      </w:divBdr>
    </w:div>
    <w:div w:id="766384136">
      <w:marLeft w:val="0"/>
      <w:marRight w:val="0"/>
      <w:marTop w:val="0"/>
      <w:marBottom w:val="0"/>
      <w:divBdr>
        <w:top w:val="none" w:sz="0" w:space="0" w:color="auto"/>
        <w:left w:val="none" w:sz="0" w:space="0" w:color="auto"/>
        <w:bottom w:val="none" w:sz="0" w:space="0" w:color="auto"/>
        <w:right w:val="none" w:sz="0" w:space="0" w:color="auto"/>
      </w:divBdr>
    </w:div>
    <w:div w:id="766384137">
      <w:marLeft w:val="0"/>
      <w:marRight w:val="0"/>
      <w:marTop w:val="0"/>
      <w:marBottom w:val="0"/>
      <w:divBdr>
        <w:top w:val="none" w:sz="0" w:space="0" w:color="auto"/>
        <w:left w:val="none" w:sz="0" w:space="0" w:color="auto"/>
        <w:bottom w:val="none" w:sz="0" w:space="0" w:color="auto"/>
        <w:right w:val="none" w:sz="0" w:space="0" w:color="auto"/>
      </w:divBdr>
    </w:div>
    <w:div w:id="766384138">
      <w:marLeft w:val="0"/>
      <w:marRight w:val="0"/>
      <w:marTop w:val="0"/>
      <w:marBottom w:val="0"/>
      <w:divBdr>
        <w:top w:val="none" w:sz="0" w:space="0" w:color="auto"/>
        <w:left w:val="none" w:sz="0" w:space="0" w:color="auto"/>
        <w:bottom w:val="none" w:sz="0" w:space="0" w:color="auto"/>
        <w:right w:val="none" w:sz="0" w:space="0" w:color="auto"/>
      </w:divBdr>
    </w:div>
    <w:div w:id="766384139">
      <w:marLeft w:val="0"/>
      <w:marRight w:val="0"/>
      <w:marTop w:val="0"/>
      <w:marBottom w:val="0"/>
      <w:divBdr>
        <w:top w:val="none" w:sz="0" w:space="0" w:color="auto"/>
        <w:left w:val="none" w:sz="0" w:space="0" w:color="auto"/>
        <w:bottom w:val="none" w:sz="0" w:space="0" w:color="auto"/>
        <w:right w:val="none" w:sz="0" w:space="0" w:color="auto"/>
      </w:divBdr>
    </w:div>
    <w:div w:id="766384140">
      <w:marLeft w:val="0"/>
      <w:marRight w:val="0"/>
      <w:marTop w:val="0"/>
      <w:marBottom w:val="0"/>
      <w:divBdr>
        <w:top w:val="none" w:sz="0" w:space="0" w:color="auto"/>
        <w:left w:val="none" w:sz="0" w:space="0" w:color="auto"/>
        <w:bottom w:val="none" w:sz="0" w:space="0" w:color="auto"/>
        <w:right w:val="none" w:sz="0" w:space="0" w:color="auto"/>
      </w:divBdr>
    </w:div>
    <w:div w:id="766384141">
      <w:marLeft w:val="0"/>
      <w:marRight w:val="0"/>
      <w:marTop w:val="0"/>
      <w:marBottom w:val="0"/>
      <w:divBdr>
        <w:top w:val="none" w:sz="0" w:space="0" w:color="auto"/>
        <w:left w:val="none" w:sz="0" w:space="0" w:color="auto"/>
        <w:bottom w:val="none" w:sz="0" w:space="0" w:color="auto"/>
        <w:right w:val="none" w:sz="0" w:space="0" w:color="auto"/>
      </w:divBdr>
    </w:div>
    <w:div w:id="766384142">
      <w:marLeft w:val="0"/>
      <w:marRight w:val="0"/>
      <w:marTop w:val="0"/>
      <w:marBottom w:val="0"/>
      <w:divBdr>
        <w:top w:val="none" w:sz="0" w:space="0" w:color="auto"/>
        <w:left w:val="none" w:sz="0" w:space="0" w:color="auto"/>
        <w:bottom w:val="none" w:sz="0" w:space="0" w:color="auto"/>
        <w:right w:val="none" w:sz="0" w:space="0" w:color="auto"/>
      </w:divBdr>
    </w:div>
    <w:div w:id="766384143">
      <w:marLeft w:val="0"/>
      <w:marRight w:val="0"/>
      <w:marTop w:val="0"/>
      <w:marBottom w:val="0"/>
      <w:divBdr>
        <w:top w:val="none" w:sz="0" w:space="0" w:color="auto"/>
        <w:left w:val="none" w:sz="0" w:space="0" w:color="auto"/>
        <w:bottom w:val="none" w:sz="0" w:space="0" w:color="auto"/>
        <w:right w:val="none" w:sz="0" w:space="0" w:color="auto"/>
      </w:divBdr>
    </w:div>
    <w:div w:id="766384144">
      <w:marLeft w:val="0"/>
      <w:marRight w:val="0"/>
      <w:marTop w:val="0"/>
      <w:marBottom w:val="0"/>
      <w:divBdr>
        <w:top w:val="none" w:sz="0" w:space="0" w:color="auto"/>
        <w:left w:val="none" w:sz="0" w:space="0" w:color="auto"/>
        <w:bottom w:val="none" w:sz="0" w:space="0" w:color="auto"/>
        <w:right w:val="none" w:sz="0" w:space="0" w:color="auto"/>
      </w:divBdr>
    </w:div>
    <w:div w:id="766384145">
      <w:marLeft w:val="0"/>
      <w:marRight w:val="0"/>
      <w:marTop w:val="0"/>
      <w:marBottom w:val="0"/>
      <w:divBdr>
        <w:top w:val="none" w:sz="0" w:space="0" w:color="auto"/>
        <w:left w:val="none" w:sz="0" w:space="0" w:color="auto"/>
        <w:bottom w:val="none" w:sz="0" w:space="0" w:color="auto"/>
        <w:right w:val="none" w:sz="0" w:space="0" w:color="auto"/>
      </w:divBdr>
    </w:div>
    <w:div w:id="766384146">
      <w:marLeft w:val="0"/>
      <w:marRight w:val="0"/>
      <w:marTop w:val="0"/>
      <w:marBottom w:val="0"/>
      <w:divBdr>
        <w:top w:val="none" w:sz="0" w:space="0" w:color="auto"/>
        <w:left w:val="none" w:sz="0" w:space="0" w:color="auto"/>
        <w:bottom w:val="none" w:sz="0" w:space="0" w:color="auto"/>
        <w:right w:val="none" w:sz="0" w:space="0" w:color="auto"/>
      </w:divBdr>
    </w:div>
    <w:div w:id="766384147">
      <w:marLeft w:val="0"/>
      <w:marRight w:val="0"/>
      <w:marTop w:val="0"/>
      <w:marBottom w:val="0"/>
      <w:divBdr>
        <w:top w:val="none" w:sz="0" w:space="0" w:color="auto"/>
        <w:left w:val="none" w:sz="0" w:space="0" w:color="auto"/>
        <w:bottom w:val="none" w:sz="0" w:space="0" w:color="auto"/>
        <w:right w:val="none" w:sz="0" w:space="0" w:color="auto"/>
      </w:divBdr>
    </w:div>
    <w:div w:id="766384148">
      <w:marLeft w:val="0"/>
      <w:marRight w:val="0"/>
      <w:marTop w:val="0"/>
      <w:marBottom w:val="0"/>
      <w:divBdr>
        <w:top w:val="none" w:sz="0" w:space="0" w:color="auto"/>
        <w:left w:val="none" w:sz="0" w:space="0" w:color="auto"/>
        <w:bottom w:val="none" w:sz="0" w:space="0" w:color="auto"/>
        <w:right w:val="none" w:sz="0" w:space="0" w:color="auto"/>
      </w:divBdr>
    </w:div>
    <w:div w:id="766384149">
      <w:marLeft w:val="0"/>
      <w:marRight w:val="0"/>
      <w:marTop w:val="0"/>
      <w:marBottom w:val="0"/>
      <w:divBdr>
        <w:top w:val="none" w:sz="0" w:space="0" w:color="auto"/>
        <w:left w:val="none" w:sz="0" w:space="0" w:color="auto"/>
        <w:bottom w:val="none" w:sz="0" w:space="0" w:color="auto"/>
        <w:right w:val="none" w:sz="0" w:space="0" w:color="auto"/>
      </w:divBdr>
    </w:div>
    <w:div w:id="766384150">
      <w:marLeft w:val="0"/>
      <w:marRight w:val="0"/>
      <w:marTop w:val="0"/>
      <w:marBottom w:val="0"/>
      <w:divBdr>
        <w:top w:val="none" w:sz="0" w:space="0" w:color="auto"/>
        <w:left w:val="none" w:sz="0" w:space="0" w:color="auto"/>
        <w:bottom w:val="none" w:sz="0" w:space="0" w:color="auto"/>
        <w:right w:val="none" w:sz="0" w:space="0" w:color="auto"/>
      </w:divBdr>
    </w:div>
    <w:div w:id="766384151">
      <w:marLeft w:val="0"/>
      <w:marRight w:val="0"/>
      <w:marTop w:val="0"/>
      <w:marBottom w:val="0"/>
      <w:divBdr>
        <w:top w:val="none" w:sz="0" w:space="0" w:color="auto"/>
        <w:left w:val="none" w:sz="0" w:space="0" w:color="auto"/>
        <w:bottom w:val="none" w:sz="0" w:space="0" w:color="auto"/>
        <w:right w:val="none" w:sz="0" w:space="0" w:color="auto"/>
      </w:divBdr>
    </w:div>
    <w:div w:id="766384152">
      <w:marLeft w:val="0"/>
      <w:marRight w:val="0"/>
      <w:marTop w:val="0"/>
      <w:marBottom w:val="0"/>
      <w:divBdr>
        <w:top w:val="none" w:sz="0" w:space="0" w:color="auto"/>
        <w:left w:val="none" w:sz="0" w:space="0" w:color="auto"/>
        <w:bottom w:val="none" w:sz="0" w:space="0" w:color="auto"/>
        <w:right w:val="none" w:sz="0" w:space="0" w:color="auto"/>
      </w:divBdr>
    </w:div>
    <w:div w:id="766384153">
      <w:marLeft w:val="0"/>
      <w:marRight w:val="0"/>
      <w:marTop w:val="0"/>
      <w:marBottom w:val="0"/>
      <w:divBdr>
        <w:top w:val="none" w:sz="0" w:space="0" w:color="auto"/>
        <w:left w:val="none" w:sz="0" w:space="0" w:color="auto"/>
        <w:bottom w:val="none" w:sz="0" w:space="0" w:color="auto"/>
        <w:right w:val="none" w:sz="0" w:space="0" w:color="auto"/>
      </w:divBdr>
    </w:div>
    <w:div w:id="850802580">
      <w:bodyDiv w:val="1"/>
      <w:marLeft w:val="0"/>
      <w:marRight w:val="0"/>
      <w:marTop w:val="0"/>
      <w:marBottom w:val="0"/>
      <w:divBdr>
        <w:top w:val="none" w:sz="0" w:space="0" w:color="auto"/>
        <w:left w:val="none" w:sz="0" w:space="0" w:color="auto"/>
        <w:bottom w:val="none" w:sz="0" w:space="0" w:color="auto"/>
        <w:right w:val="none" w:sz="0" w:space="0" w:color="auto"/>
      </w:divBdr>
    </w:div>
    <w:div w:id="969476316">
      <w:bodyDiv w:val="1"/>
      <w:marLeft w:val="0"/>
      <w:marRight w:val="0"/>
      <w:marTop w:val="0"/>
      <w:marBottom w:val="0"/>
      <w:divBdr>
        <w:top w:val="none" w:sz="0" w:space="0" w:color="auto"/>
        <w:left w:val="none" w:sz="0" w:space="0" w:color="auto"/>
        <w:bottom w:val="none" w:sz="0" w:space="0" w:color="auto"/>
        <w:right w:val="none" w:sz="0" w:space="0" w:color="auto"/>
      </w:divBdr>
    </w:div>
    <w:div w:id="975573391">
      <w:bodyDiv w:val="1"/>
      <w:marLeft w:val="0"/>
      <w:marRight w:val="0"/>
      <w:marTop w:val="0"/>
      <w:marBottom w:val="0"/>
      <w:divBdr>
        <w:top w:val="none" w:sz="0" w:space="0" w:color="auto"/>
        <w:left w:val="none" w:sz="0" w:space="0" w:color="auto"/>
        <w:bottom w:val="none" w:sz="0" w:space="0" w:color="auto"/>
        <w:right w:val="none" w:sz="0" w:space="0" w:color="auto"/>
      </w:divBdr>
    </w:div>
    <w:div w:id="1080906630">
      <w:bodyDiv w:val="1"/>
      <w:marLeft w:val="0"/>
      <w:marRight w:val="0"/>
      <w:marTop w:val="0"/>
      <w:marBottom w:val="0"/>
      <w:divBdr>
        <w:top w:val="none" w:sz="0" w:space="0" w:color="auto"/>
        <w:left w:val="none" w:sz="0" w:space="0" w:color="auto"/>
        <w:bottom w:val="none" w:sz="0" w:space="0" w:color="auto"/>
        <w:right w:val="none" w:sz="0" w:space="0" w:color="auto"/>
      </w:divBdr>
    </w:div>
    <w:div w:id="1133211651">
      <w:bodyDiv w:val="1"/>
      <w:marLeft w:val="0"/>
      <w:marRight w:val="0"/>
      <w:marTop w:val="0"/>
      <w:marBottom w:val="0"/>
      <w:divBdr>
        <w:top w:val="none" w:sz="0" w:space="0" w:color="auto"/>
        <w:left w:val="none" w:sz="0" w:space="0" w:color="auto"/>
        <w:bottom w:val="none" w:sz="0" w:space="0" w:color="auto"/>
        <w:right w:val="none" w:sz="0" w:space="0" w:color="auto"/>
      </w:divBdr>
    </w:div>
    <w:div w:id="1263800743">
      <w:bodyDiv w:val="1"/>
      <w:marLeft w:val="0"/>
      <w:marRight w:val="0"/>
      <w:marTop w:val="0"/>
      <w:marBottom w:val="0"/>
      <w:divBdr>
        <w:top w:val="none" w:sz="0" w:space="0" w:color="auto"/>
        <w:left w:val="none" w:sz="0" w:space="0" w:color="auto"/>
        <w:bottom w:val="none" w:sz="0" w:space="0" w:color="auto"/>
        <w:right w:val="none" w:sz="0" w:space="0" w:color="auto"/>
      </w:divBdr>
    </w:div>
    <w:div w:id="1819304214">
      <w:bodyDiv w:val="1"/>
      <w:marLeft w:val="0"/>
      <w:marRight w:val="0"/>
      <w:marTop w:val="0"/>
      <w:marBottom w:val="0"/>
      <w:divBdr>
        <w:top w:val="none" w:sz="0" w:space="0" w:color="auto"/>
        <w:left w:val="none" w:sz="0" w:space="0" w:color="auto"/>
        <w:bottom w:val="none" w:sz="0" w:space="0" w:color="auto"/>
        <w:right w:val="none" w:sz="0" w:space="0" w:color="auto"/>
      </w:divBdr>
    </w:div>
    <w:div w:id="1870529113">
      <w:bodyDiv w:val="1"/>
      <w:marLeft w:val="0"/>
      <w:marRight w:val="0"/>
      <w:marTop w:val="0"/>
      <w:marBottom w:val="0"/>
      <w:divBdr>
        <w:top w:val="none" w:sz="0" w:space="0" w:color="auto"/>
        <w:left w:val="none" w:sz="0" w:space="0" w:color="auto"/>
        <w:bottom w:val="none" w:sz="0" w:space="0" w:color="auto"/>
        <w:right w:val="none" w:sz="0" w:space="0" w:color="auto"/>
      </w:divBdr>
    </w:div>
    <w:div w:id="20548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ancer.fr/Institut-national-du-cancer/Deontologie-et-transparence-DPI/Prevention-et-gestion-des-conflits-d-interet/Deontologie-a-l-Institu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cancer.fr/Institut-national-du-cancer/Appels-a-projets/Appels-a-projets-en-cours/DEPREV2016" TargetMode="External"/><Relationship Id="rId17" Type="http://schemas.openxmlformats.org/officeDocument/2006/relationships/hyperlink" Target="mailto:%20%20%20@%20institutcancer" TargetMode="External"/><Relationship Id="rId2" Type="http://schemas.openxmlformats.org/officeDocument/2006/relationships/numbering" Target="numbering.xml"/><Relationship Id="rId16" Type="http://schemas.openxmlformats.org/officeDocument/2006/relationships/hyperlink" Target="mailto:%20%20%20@%20institutcanc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ancer.fr/Institut-national-du-cancer/Appels-a-projets/Appels-a-projets-en-cours/DEPREV2018" TargetMode="External"/><Relationship Id="rId5" Type="http://schemas.openxmlformats.org/officeDocument/2006/relationships/settings" Target="settings.xml"/><Relationship Id="rId15" Type="http://schemas.openxmlformats.org/officeDocument/2006/relationships/hyperlink" Target="http://www.e-cancer.fr/Institut-national-du-cancer/Appels-a-projets/Appels-a-projets-en-cours/DEPREV20176"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cancer.fr/Institut-national-du-cancer/Appels-a-projets/Reglement-des-subven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ntepubliquefrance.fr/Actualites/Avis-d-experts-relatif-a-l-evolution-du-discours-public-en-matiere-de-consommation-d-alcool-en-France-organise-par-Sante-publique-France-et-l-I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AB4E-86F1-475A-948F-2DF5D556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5025</Words>
  <Characters>30671</Characters>
  <Application>Microsoft Office Word</Application>
  <DocSecurity>0</DocSecurity>
  <Lines>255</Lines>
  <Paragraphs>71</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35625</CharactersWithSpaces>
  <SharedDoc>false</SharedDoc>
  <HLinks>
    <vt:vector size="60" baseType="variant">
      <vt:variant>
        <vt:i4>1310814</vt:i4>
      </vt:variant>
      <vt:variant>
        <vt:i4>51</vt:i4>
      </vt:variant>
      <vt:variant>
        <vt:i4>0</vt:i4>
      </vt:variant>
      <vt:variant>
        <vt:i4>5</vt:i4>
      </vt:variant>
      <vt:variant>
        <vt:lpwstr>http://www.e-cancer.fr/linstitut-national-du-cancer/subventions/attribuees-apres-le-13072011</vt:lpwstr>
      </vt:variant>
      <vt:variant>
        <vt:lpwstr/>
      </vt:variant>
      <vt:variant>
        <vt:i4>1769523</vt:i4>
      </vt:variant>
      <vt:variant>
        <vt:i4>44</vt:i4>
      </vt:variant>
      <vt:variant>
        <vt:i4>0</vt:i4>
      </vt:variant>
      <vt:variant>
        <vt:i4>5</vt:i4>
      </vt:variant>
      <vt:variant>
        <vt:lpwstr/>
      </vt:variant>
      <vt:variant>
        <vt:lpwstr>_Toc275437782</vt:lpwstr>
      </vt:variant>
      <vt:variant>
        <vt:i4>1769523</vt:i4>
      </vt:variant>
      <vt:variant>
        <vt:i4>41</vt:i4>
      </vt:variant>
      <vt:variant>
        <vt:i4>0</vt:i4>
      </vt:variant>
      <vt:variant>
        <vt:i4>5</vt:i4>
      </vt:variant>
      <vt:variant>
        <vt:lpwstr/>
      </vt:variant>
      <vt:variant>
        <vt:lpwstr>_Toc275437781</vt:lpwstr>
      </vt:variant>
      <vt:variant>
        <vt:i4>1769523</vt:i4>
      </vt:variant>
      <vt:variant>
        <vt:i4>35</vt:i4>
      </vt:variant>
      <vt:variant>
        <vt:i4>0</vt:i4>
      </vt:variant>
      <vt:variant>
        <vt:i4>5</vt:i4>
      </vt:variant>
      <vt:variant>
        <vt:lpwstr/>
      </vt:variant>
      <vt:variant>
        <vt:lpwstr>_Toc275437780</vt:lpwstr>
      </vt:variant>
      <vt:variant>
        <vt:i4>1310771</vt:i4>
      </vt:variant>
      <vt:variant>
        <vt:i4>29</vt:i4>
      </vt:variant>
      <vt:variant>
        <vt:i4>0</vt:i4>
      </vt:variant>
      <vt:variant>
        <vt:i4>5</vt:i4>
      </vt:variant>
      <vt:variant>
        <vt:lpwstr/>
      </vt:variant>
      <vt:variant>
        <vt:lpwstr>_Toc275437779</vt:lpwstr>
      </vt:variant>
      <vt:variant>
        <vt:i4>1310771</vt:i4>
      </vt:variant>
      <vt:variant>
        <vt:i4>26</vt:i4>
      </vt:variant>
      <vt:variant>
        <vt:i4>0</vt:i4>
      </vt:variant>
      <vt:variant>
        <vt:i4>5</vt:i4>
      </vt:variant>
      <vt:variant>
        <vt:lpwstr/>
      </vt:variant>
      <vt:variant>
        <vt:lpwstr>_Toc275437778</vt:lpwstr>
      </vt:variant>
      <vt:variant>
        <vt:i4>1310771</vt:i4>
      </vt:variant>
      <vt:variant>
        <vt:i4>20</vt:i4>
      </vt:variant>
      <vt:variant>
        <vt:i4>0</vt:i4>
      </vt:variant>
      <vt:variant>
        <vt:i4>5</vt:i4>
      </vt:variant>
      <vt:variant>
        <vt:lpwstr/>
      </vt:variant>
      <vt:variant>
        <vt:lpwstr>_Toc275437777</vt:lpwstr>
      </vt:variant>
      <vt:variant>
        <vt:i4>1310771</vt:i4>
      </vt:variant>
      <vt:variant>
        <vt:i4>14</vt:i4>
      </vt:variant>
      <vt:variant>
        <vt:i4>0</vt:i4>
      </vt:variant>
      <vt:variant>
        <vt:i4>5</vt:i4>
      </vt:variant>
      <vt:variant>
        <vt:lpwstr/>
      </vt:variant>
      <vt:variant>
        <vt:lpwstr>_Toc275437776</vt:lpwstr>
      </vt:variant>
      <vt:variant>
        <vt:i4>1310771</vt:i4>
      </vt:variant>
      <vt:variant>
        <vt:i4>8</vt:i4>
      </vt:variant>
      <vt:variant>
        <vt:i4>0</vt:i4>
      </vt:variant>
      <vt:variant>
        <vt:i4>5</vt:i4>
      </vt:variant>
      <vt:variant>
        <vt:lpwstr/>
      </vt:variant>
      <vt:variant>
        <vt:lpwstr>_Toc275437775</vt:lpwstr>
      </vt:variant>
      <vt:variant>
        <vt:i4>1310771</vt:i4>
      </vt:variant>
      <vt:variant>
        <vt:i4>2</vt:i4>
      </vt:variant>
      <vt:variant>
        <vt:i4>0</vt:i4>
      </vt:variant>
      <vt:variant>
        <vt:i4>5</vt:i4>
      </vt:variant>
      <vt:variant>
        <vt:lpwstr/>
      </vt:variant>
      <vt:variant>
        <vt:lpwstr>_Toc275437774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BIRCKEL</dc:creator>
  <cp:lastModifiedBy>BIRCKEL Claire-Françoise</cp:lastModifiedBy>
  <cp:revision>9</cp:revision>
  <cp:lastPrinted>2018-01-18T10:51:00Z</cp:lastPrinted>
  <dcterms:created xsi:type="dcterms:W3CDTF">2018-01-16T15:02:00Z</dcterms:created>
  <dcterms:modified xsi:type="dcterms:W3CDTF">2018-01-18T10:52:00Z</dcterms:modified>
</cp:coreProperties>
</file>