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4C" w:rsidRDefault="00404BE2" w:rsidP="00A20234">
      <w:r>
        <w:rPr>
          <w:noProof/>
          <w:lang w:eastAsia="fr-FR"/>
        </w:rPr>
        <w:pict>
          <v:rect id="_x0000_s1035" style="position:absolute;margin-left:-3.35pt;margin-top:-22.85pt;width:464.25pt;height:7.15pt;z-index:251658240" fillcolor="#4f81bd" stroked="f">
            <v:fill color2="fill lighten(51)" angle="-90" focusposition="1" focussize="" method="linear sigma" type="gradient"/>
          </v:rect>
        </w:pict>
      </w:r>
    </w:p>
    <w:p w:rsidR="00227636" w:rsidRPr="00C7660A" w:rsidRDefault="00C7660A" w:rsidP="00CF31AF">
      <w:pPr>
        <w:pStyle w:val="Titre"/>
        <w:rPr>
          <w:b/>
          <w:color w:val="426282"/>
          <w:szCs w:val="28"/>
          <w:lang w:val="en-US"/>
        </w:rPr>
      </w:pPr>
      <w:r w:rsidRPr="00C7660A">
        <w:rPr>
          <w:b/>
          <w:color w:val="426282"/>
          <w:szCs w:val="28"/>
          <w:lang w:val="en-US"/>
        </w:rPr>
        <w:t>Selective inhibition of BET bromodomains epigenetic signaling interferes with the bone-associated tumor vicious cycle</w:t>
      </w:r>
    </w:p>
    <w:p w:rsidR="00A23427" w:rsidRPr="00C7660A" w:rsidRDefault="00A23427" w:rsidP="00227636">
      <w:pPr>
        <w:spacing w:line="360" w:lineRule="auto"/>
        <w:ind w:left="4111"/>
        <w:jc w:val="center"/>
        <w:rPr>
          <w:rFonts w:cs="Arial"/>
          <w:b/>
          <w:bCs/>
          <w:lang w:val="en-US"/>
        </w:rPr>
        <w:sectPr w:rsidR="00A23427" w:rsidRPr="00C7660A" w:rsidSect="008C13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636" w:rsidRPr="00C7660A" w:rsidRDefault="00227636" w:rsidP="00227636">
      <w:pPr>
        <w:spacing w:line="360" w:lineRule="auto"/>
        <w:ind w:left="4111"/>
        <w:jc w:val="center"/>
        <w:rPr>
          <w:rFonts w:cs="Arial"/>
          <w:b/>
          <w:bCs/>
          <w:lang w:val="en-US"/>
        </w:rPr>
      </w:pPr>
    </w:p>
    <w:p w:rsidR="00A23427" w:rsidRPr="00A23427" w:rsidRDefault="00A23427" w:rsidP="00A23427">
      <w:pPr>
        <w:spacing w:line="240" w:lineRule="auto"/>
        <w:jc w:val="center"/>
        <w:rPr>
          <w:rFonts w:cs="Arial"/>
          <w:b/>
          <w:bCs/>
        </w:rPr>
      </w:pPr>
      <w:r w:rsidRPr="00A23427">
        <w:rPr>
          <w:rFonts w:cs="Arial"/>
          <w:b/>
          <w:bCs/>
        </w:rPr>
        <w:t>Marc Baud’huin</w:t>
      </w:r>
      <w:r>
        <w:rPr>
          <w:rFonts w:cs="Arial"/>
          <w:b/>
          <w:bCs/>
        </w:rPr>
        <w:t xml:space="preserve"> </w:t>
      </w:r>
      <w:r w:rsidRPr="00A23427">
        <w:rPr>
          <w:rFonts w:cs="Arial"/>
          <w:b/>
          <w:bCs/>
          <w:vertAlign w:val="superscript"/>
        </w:rPr>
        <w:t>1,2,3</w:t>
      </w:r>
      <w:r>
        <w:rPr>
          <w:rFonts w:cs="Arial"/>
          <w:b/>
          <w:bCs/>
        </w:rPr>
        <w:t xml:space="preserve">, </w:t>
      </w:r>
      <w:r w:rsidRPr="00A23427">
        <w:rPr>
          <w:rFonts w:cs="Arial"/>
          <w:b/>
          <w:bCs/>
        </w:rPr>
        <w:t>François Lamoureux</w:t>
      </w:r>
      <w:r>
        <w:rPr>
          <w:rFonts w:cs="Arial"/>
          <w:b/>
          <w:bCs/>
        </w:rPr>
        <w:t xml:space="preserve"> </w:t>
      </w:r>
      <w:r w:rsidRPr="00A23427">
        <w:rPr>
          <w:rFonts w:cs="Arial"/>
          <w:b/>
          <w:bCs/>
          <w:vertAlign w:val="superscript"/>
        </w:rPr>
        <w:t>1,2</w:t>
      </w:r>
      <w:r w:rsidRPr="00A23427">
        <w:rPr>
          <w:rFonts w:cs="Arial"/>
          <w:b/>
          <w:bCs/>
        </w:rPr>
        <w:t>, Lidia Rodriguez</w:t>
      </w:r>
      <w:r w:rsidRPr="00A23427">
        <w:rPr>
          <w:rFonts w:cs="Arial"/>
          <w:b/>
          <w:bCs/>
          <w:vertAlign w:val="superscript"/>
        </w:rPr>
        <w:t>1,2</w:t>
      </w:r>
      <w:r w:rsidRPr="00A23427">
        <w:rPr>
          <w:rFonts w:cs="Arial"/>
          <w:b/>
          <w:bCs/>
        </w:rPr>
        <w:t>, Camille Jacques</w:t>
      </w:r>
      <w:r w:rsidRPr="00A23427">
        <w:rPr>
          <w:rFonts w:cs="Arial"/>
          <w:b/>
          <w:bCs/>
          <w:vertAlign w:val="superscript"/>
        </w:rPr>
        <w:t>1,2</w:t>
      </w:r>
      <w:r w:rsidRPr="00A23427">
        <w:rPr>
          <w:rFonts w:cs="Arial"/>
          <w:b/>
          <w:bCs/>
        </w:rPr>
        <w:t>, Martine Berreur</w:t>
      </w:r>
      <w:r w:rsidRPr="00A23427">
        <w:rPr>
          <w:rFonts w:cs="Arial"/>
          <w:b/>
          <w:bCs/>
          <w:vertAlign w:val="superscript"/>
        </w:rPr>
        <w:t>1,2</w:t>
      </w:r>
      <w:r w:rsidRPr="00A23427">
        <w:rPr>
          <w:rFonts w:cs="Arial"/>
          <w:b/>
          <w:bCs/>
        </w:rPr>
        <w:t>, James E. Bradner</w:t>
      </w:r>
      <w:r w:rsidRPr="00A23427">
        <w:rPr>
          <w:rFonts w:cs="Arial"/>
          <w:b/>
          <w:bCs/>
          <w:vertAlign w:val="superscript"/>
        </w:rPr>
        <w:t>4,5</w:t>
      </w:r>
      <w:r w:rsidRPr="00A23427">
        <w:rPr>
          <w:rFonts w:cs="Arial"/>
          <w:b/>
          <w:bCs/>
        </w:rPr>
        <w:t>, Françoise Rédini</w:t>
      </w:r>
      <w:r w:rsidRPr="00A23427">
        <w:rPr>
          <w:rFonts w:cs="Arial"/>
          <w:b/>
          <w:bCs/>
          <w:vertAlign w:val="superscript"/>
        </w:rPr>
        <w:t>1,2</w:t>
      </w:r>
      <w:r w:rsidRPr="00A23427">
        <w:rPr>
          <w:rFonts w:cs="Arial"/>
          <w:b/>
          <w:bCs/>
        </w:rPr>
        <w:t>, Dominique Heymann</w:t>
      </w:r>
      <w:r w:rsidRPr="00A23427">
        <w:rPr>
          <w:rFonts w:cs="Arial"/>
          <w:b/>
          <w:bCs/>
          <w:vertAlign w:val="superscript"/>
        </w:rPr>
        <w:t>1,2,3</w:t>
      </w:r>
      <w:r w:rsidRPr="00A23427">
        <w:rPr>
          <w:rFonts w:cs="Arial"/>
          <w:b/>
          <w:bCs/>
        </w:rPr>
        <w:t>, Benjamin Ory</w:t>
      </w:r>
      <w:r w:rsidRPr="00A23427">
        <w:rPr>
          <w:rFonts w:cs="Arial"/>
          <w:b/>
          <w:bCs/>
          <w:vertAlign w:val="superscript"/>
        </w:rPr>
        <w:t>1,2</w:t>
      </w:r>
    </w:p>
    <w:p w:rsidR="00A23427" w:rsidRPr="00A23427" w:rsidRDefault="00A23427" w:rsidP="00C7660A">
      <w:pPr>
        <w:spacing w:after="120" w:line="240" w:lineRule="auto"/>
        <w:rPr>
          <w:rFonts w:cs="Arial"/>
          <w:b/>
          <w:bCs/>
        </w:rPr>
      </w:pPr>
      <w:r w:rsidRPr="00A23427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 </w:t>
      </w:r>
      <w:r w:rsidRPr="00A23427">
        <w:rPr>
          <w:rFonts w:cs="Arial"/>
          <w:b/>
          <w:bCs/>
        </w:rPr>
        <w:t>INSERM, UMR-S 957, 1 Rue Gaston Veil, 44035 Nantes, France</w:t>
      </w:r>
    </w:p>
    <w:p w:rsidR="00A23427" w:rsidRPr="00A23427" w:rsidRDefault="00A23427" w:rsidP="00C7660A">
      <w:pPr>
        <w:spacing w:after="120" w:line="240" w:lineRule="auto"/>
        <w:rPr>
          <w:rFonts w:cs="Arial"/>
          <w:b/>
          <w:bCs/>
        </w:rPr>
      </w:pPr>
      <w:r w:rsidRPr="00A23427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 </w:t>
      </w:r>
      <w:r w:rsidRPr="00A23427">
        <w:rPr>
          <w:rFonts w:cs="Arial"/>
          <w:b/>
          <w:bCs/>
        </w:rPr>
        <w:t>Physiopathologie de la Résorption Osseuse et Thérapie des Tumeurs Osseuses Primitives,     Université de Nantes, Nantes Atlantique Universités, EA3822, 1 Rue Gaston Veil, 44035 Nantes, France</w:t>
      </w:r>
    </w:p>
    <w:p w:rsidR="00A23427" w:rsidRPr="00A23427" w:rsidRDefault="00A23427" w:rsidP="00C7660A">
      <w:pPr>
        <w:spacing w:after="120" w:line="240" w:lineRule="auto"/>
        <w:rPr>
          <w:rFonts w:cs="Arial"/>
          <w:b/>
          <w:bCs/>
          <w:lang w:val="en-US"/>
        </w:rPr>
      </w:pPr>
      <w:r w:rsidRPr="00A23427">
        <w:rPr>
          <w:rFonts w:cs="Arial"/>
          <w:b/>
          <w:bCs/>
          <w:lang w:val="en-US"/>
        </w:rPr>
        <w:t>3</w:t>
      </w:r>
      <w:r>
        <w:rPr>
          <w:rFonts w:cs="Arial"/>
          <w:b/>
          <w:bCs/>
          <w:lang w:val="en-US"/>
        </w:rPr>
        <w:t xml:space="preserve"> </w:t>
      </w:r>
      <w:r w:rsidRPr="00A23427">
        <w:rPr>
          <w:rFonts w:cs="Arial"/>
          <w:b/>
          <w:bCs/>
          <w:lang w:val="en-US"/>
        </w:rPr>
        <w:t>Nantes University Hospital, Nantes, France</w:t>
      </w:r>
    </w:p>
    <w:p w:rsidR="00A23427" w:rsidRPr="00A23427" w:rsidRDefault="00A23427" w:rsidP="00C7660A">
      <w:pPr>
        <w:spacing w:after="120" w:line="240" w:lineRule="auto"/>
        <w:rPr>
          <w:rFonts w:cs="Arial"/>
          <w:b/>
          <w:bCs/>
          <w:lang w:val="en-US"/>
        </w:rPr>
      </w:pPr>
      <w:r w:rsidRPr="00A23427">
        <w:rPr>
          <w:rFonts w:cs="Arial"/>
          <w:b/>
          <w:bCs/>
          <w:lang w:val="en-US"/>
        </w:rPr>
        <w:t>4</w:t>
      </w:r>
      <w:r>
        <w:rPr>
          <w:rFonts w:cs="Arial"/>
          <w:b/>
          <w:bCs/>
          <w:lang w:val="en-US"/>
        </w:rPr>
        <w:t xml:space="preserve"> </w:t>
      </w:r>
      <w:r w:rsidRPr="00A23427">
        <w:rPr>
          <w:rFonts w:cs="Arial"/>
          <w:b/>
          <w:bCs/>
          <w:lang w:val="en-US"/>
        </w:rPr>
        <w:t>Department of Medical Oncology, Dana-Farber Cancer Institute, Harvard Medical School,   44 Binney Street, Boston Massachusetts 02115, USA</w:t>
      </w:r>
    </w:p>
    <w:p w:rsidR="00A23427" w:rsidRDefault="00A23427" w:rsidP="00C7660A">
      <w:pPr>
        <w:spacing w:after="120" w:line="240" w:lineRule="auto"/>
        <w:rPr>
          <w:rFonts w:cs="Arial"/>
          <w:b/>
          <w:bCs/>
          <w:lang w:val="en-US"/>
        </w:rPr>
      </w:pPr>
      <w:r w:rsidRPr="00A23427">
        <w:rPr>
          <w:rFonts w:cs="Arial"/>
          <w:b/>
          <w:bCs/>
          <w:lang w:val="en-US"/>
        </w:rPr>
        <w:t>5</w:t>
      </w:r>
      <w:r>
        <w:rPr>
          <w:rFonts w:cs="Arial"/>
          <w:b/>
          <w:bCs/>
          <w:lang w:val="en-US"/>
        </w:rPr>
        <w:t xml:space="preserve"> Dep</w:t>
      </w:r>
      <w:r w:rsidRPr="00A23427">
        <w:rPr>
          <w:rFonts w:cs="Arial"/>
          <w:b/>
          <w:bCs/>
          <w:lang w:val="en-US"/>
        </w:rPr>
        <w:t>artment of Medicine, Harvard Medical School, 25 Shattuck Street, Boston Massachusetts 02115, USA</w:t>
      </w:r>
    </w:p>
    <w:p w:rsidR="00A23427" w:rsidRDefault="00A23427" w:rsidP="00A23427">
      <w:pPr>
        <w:spacing w:line="240" w:lineRule="auto"/>
        <w:rPr>
          <w:rFonts w:cs="Arial"/>
          <w:b/>
          <w:bCs/>
          <w:lang w:val="en-US"/>
        </w:rPr>
      </w:pPr>
    </w:p>
    <w:p w:rsidR="00A23427" w:rsidRDefault="00CF31AF" w:rsidP="00C7660A">
      <w:pPr>
        <w:spacing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Benjamin.ory</w:t>
      </w:r>
      <w:r w:rsidR="00C7660A">
        <w:rPr>
          <w:rFonts w:cs="Arial"/>
          <w:b/>
          <w:bCs/>
          <w:lang w:val="en-US"/>
        </w:rPr>
        <w:t>@univ-nantes.fr</w:t>
      </w:r>
    </w:p>
    <w:p w:rsidR="00C7660A" w:rsidRDefault="00C7660A" w:rsidP="00C7660A">
      <w:pPr>
        <w:spacing w:line="240" w:lineRule="auto"/>
        <w:rPr>
          <w:rFonts w:cs="Arial"/>
          <w:b/>
          <w:bCs/>
          <w:lang w:val="en-US"/>
        </w:rPr>
      </w:pPr>
    </w:p>
    <w:p w:rsidR="00C7660A" w:rsidRPr="00C7660A" w:rsidRDefault="00C7660A" w:rsidP="00C7660A">
      <w:pPr>
        <w:spacing w:line="240" w:lineRule="auto"/>
        <w:rPr>
          <w:rFonts w:cs="Arial"/>
          <w:b/>
          <w:bCs/>
          <w:lang w:val="en-US"/>
        </w:rPr>
        <w:sectPr w:rsidR="00C7660A" w:rsidRPr="00C7660A" w:rsidSect="00A234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660A" w:rsidRPr="00C7660A" w:rsidRDefault="00C7660A" w:rsidP="00C7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The vicious cycle established between bone associated tumors and bone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resorption is the central problematic of the therapeutic strategies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developed for primary bone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tumors or bone metastasis. In this study we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report data supporting BET bromodomain inhibition as a novel therapeutic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strategy targeting simultaneously the three partners of the vicious cycle,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using JQ1, a unique BET bromodomain inhibitor. A strong reduction of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osteosarcoma cells viability and osteoblastic differentiation has been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observed both in vitro and in vivo after BET protein inhibition associated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to a transcriptional silencing of MYC and RUNX2 coincident with release of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BRD4 from their respective locus. Moreover, we identified a BRD4-dependent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RANKL activation of the NFATC1 transcription, leading to the inhibitory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potential of JQ1 on osteoclast differentiation. This makes JQ1 a potent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inhibitor of osteoblast, osteoclast differentiation and bone tumor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7660A">
        <w:rPr>
          <w:rFonts w:ascii="Times New Roman" w:eastAsia="Times New Roman" w:hAnsi="Times New Roman"/>
          <w:sz w:val="24"/>
          <w:szCs w:val="24"/>
          <w:lang w:val="en-US" w:eastAsia="fr-FR"/>
        </w:rPr>
        <w:t>development.</w:t>
      </w:r>
    </w:p>
    <w:sectPr w:rsidR="00C7660A" w:rsidRPr="00C7660A" w:rsidSect="00A234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46587"/>
    <w:rsid w:val="002269CA"/>
    <w:rsid w:val="00227636"/>
    <w:rsid w:val="00325E26"/>
    <w:rsid w:val="00390F4C"/>
    <w:rsid w:val="00404BE2"/>
    <w:rsid w:val="006347DF"/>
    <w:rsid w:val="00642E22"/>
    <w:rsid w:val="0075083B"/>
    <w:rsid w:val="008C1348"/>
    <w:rsid w:val="009F5560"/>
    <w:rsid w:val="00A20234"/>
    <w:rsid w:val="00A23427"/>
    <w:rsid w:val="00A46587"/>
    <w:rsid w:val="00C7660A"/>
    <w:rsid w:val="00CE3722"/>
    <w:rsid w:val="00CF31AF"/>
    <w:rsid w:val="00EB07C7"/>
    <w:rsid w:val="00F80628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27636"/>
    <w:pPr>
      <w:spacing w:after="0" w:line="360" w:lineRule="auto"/>
      <w:jc w:val="center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27636"/>
    <w:rPr>
      <w:rFonts w:ascii="Arial" w:eastAsia="Times New Roman" w:hAnsi="Arial" w:cs="Arial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227636"/>
    <w:pPr>
      <w:spacing w:after="0" w:line="280" w:lineRule="exact"/>
      <w:jc w:val="center"/>
    </w:pPr>
    <w:rPr>
      <w:rFonts w:ascii="Arial" w:eastAsia="Times New Roman" w:hAnsi="Arial"/>
      <w:sz w:val="2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227636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6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660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cp:lastModifiedBy>cgso</cp:lastModifiedBy>
  <cp:revision>2</cp:revision>
  <dcterms:created xsi:type="dcterms:W3CDTF">2013-11-29T14:16:00Z</dcterms:created>
  <dcterms:modified xsi:type="dcterms:W3CDTF">2013-11-29T14:16:00Z</dcterms:modified>
</cp:coreProperties>
</file>